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431C16" w:rsidRDefault="006816EC">
            <w:pPr>
              <w:jc w:val="both"/>
              <w:rPr>
                <w:rFonts w:ascii="Arial (W1)" w:hAnsi="Arial (W1)"/>
                <w:b/>
                <w:bCs/>
                <w:sz w:val="26"/>
                <w:szCs w:val="26"/>
              </w:rPr>
            </w:pPr>
            <w:bookmarkStart w:id="0" w:name="_GoBack"/>
            <w:bookmarkEnd w:id="0"/>
            <w:r w:rsidRPr="00431C16">
              <w:rPr>
                <w:rFonts w:hint="cs"/>
                <w:b/>
                <w:bCs/>
                <w:sz w:val="26"/>
                <w:szCs w:val="26"/>
                <w:rtl/>
              </w:rPr>
              <w:t xml:space="preserve">בפני </w:t>
            </w:r>
          </w:p>
        </w:tc>
        <w:tc>
          <w:tcPr>
            <w:tcW w:w="8077" w:type="dxa"/>
            <w:gridSpan w:val="2"/>
            <w:hideMark/>
          </w:tcPr>
          <w:p w:rsidR="006816EC" w:rsidRPr="00431C16" w:rsidRDefault="00B32C61" w:rsidP="006816EC">
            <w:pPr>
              <w:rPr>
                <w:rFonts w:ascii="Arial" w:hAnsi="Arial"/>
                <w:b/>
                <w:bCs/>
                <w:sz w:val="26"/>
                <w:szCs w:val="26"/>
                <w:rtl/>
              </w:rPr>
            </w:pPr>
            <w:r w:rsidRPr="00431C16">
              <w:rPr>
                <w:rFonts w:ascii="Arial" w:hAnsi="Arial" w:hint="cs"/>
                <w:b/>
                <w:bCs/>
                <w:sz w:val="26"/>
                <w:szCs w:val="26"/>
                <w:rtl/>
              </w:rPr>
              <w:t>כבוד</w:t>
            </w:r>
            <w:r w:rsidR="006816EC" w:rsidRPr="00431C16">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431C16">
                  <w:rPr>
                    <w:rFonts w:ascii="Arial" w:hAnsi="Arial"/>
                    <w:b/>
                    <w:bCs/>
                    <w:sz w:val="26"/>
                    <w:szCs w:val="26"/>
                    <w:rtl/>
                  </w:rPr>
                  <w:t>שופטת בכירה</w:t>
                </w:r>
              </w:sdtContent>
            </w:sdt>
            <w:r w:rsidR="006816EC" w:rsidRPr="00431C16">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431C16">
                  <w:rPr>
                    <w:rFonts w:ascii="Arial" w:hAnsi="Arial"/>
                    <w:b/>
                    <w:bCs/>
                    <w:sz w:val="26"/>
                    <w:szCs w:val="26"/>
                    <w:rtl/>
                  </w:rPr>
                  <w:t>שושנה ברגר</w:t>
                </w:r>
              </w:sdtContent>
            </w:sdt>
          </w:p>
          <w:p w:rsidR="006816EC" w:rsidRPr="00431C16" w:rsidRDefault="006816EC" w:rsidP="006816EC">
            <w:pPr>
              <w:rPr>
                <w:b/>
                <w:bCs/>
                <w:sz w:val="26"/>
                <w:szCs w:val="26"/>
              </w:rPr>
            </w:pPr>
          </w:p>
        </w:tc>
      </w:tr>
      <w:tr w:rsidR="006816EC" w:rsidTr="006816EC">
        <w:trPr>
          <w:jc w:val="center"/>
        </w:trPr>
        <w:tc>
          <w:tcPr>
            <w:tcW w:w="3249" w:type="dxa"/>
            <w:gridSpan w:val="2"/>
          </w:tcPr>
          <w:sdt>
            <w:sdtPr>
              <w:rPr>
                <w:rFonts w:hint="cs"/>
                <w:b/>
                <w:bCs/>
                <w:sz w:val="26"/>
                <w:szCs w:val="26"/>
                <w:rtl/>
              </w:rPr>
              <w:alias w:val="1180"/>
              <w:tag w:val="1180"/>
              <w:id w:val="-803768281"/>
              <w:text w:multiLine="1"/>
            </w:sdtPr>
            <w:sdtEndPr/>
            <w:sdtContent>
              <w:p w:rsidR="00CC4A16" w:rsidRPr="00431C16" w:rsidRDefault="000761C5" w:rsidP="000761C5">
                <w:pPr>
                  <w:rPr>
                    <w:rFonts w:ascii="Arial (W1)" w:hAnsi="Arial (W1)"/>
                    <w:b/>
                    <w:bCs/>
                    <w:noProof w:val="0"/>
                    <w:sz w:val="26"/>
                    <w:szCs w:val="26"/>
                  </w:rPr>
                </w:pPr>
                <w:r w:rsidRPr="00431C16">
                  <w:rPr>
                    <w:rFonts w:hint="cs"/>
                    <w:b/>
                    <w:bCs/>
                    <w:noProof w:val="0"/>
                    <w:sz w:val="26"/>
                    <w:szCs w:val="26"/>
                    <w:rtl/>
                  </w:rPr>
                  <w:t>ה</w:t>
                </w:r>
                <w:r w:rsidR="001F2456" w:rsidRPr="00431C16">
                  <w:rPr>
                    <w:rFonts w:hint="cs"/>
                    <w:b/>
                    <w:bCs/>
                    <w:noProof w:val="0"/>
                    <w:sz w:val="26"/>
                    <w:szCs w:val="26"/>
                    <w:rtl/>
                  </w:rPr>
                  <w:t>תובע</w:t>
                </w:r>
                <w:r w:rsidRPr="00431C16">
                  <w:rPr>
                    <w:rFonts w:hint="cs"/>
                    <w:b/>
                    <w:bCs/>
                    <w:noProof w:val="0"/>
                    <w:sz w:val="26"/>
                    <w:szCs w:val="26"/>
                    <w:rtl/>
                  </w:rPr>
                  <w:t>:</w:t>
                </w:r>
              </w:p>
            </w:sdtContent>
          </w:sdt>
        </w:tc>
        <w:tc>
          <w:tcPr>
            <w:tcW w:w="5571" w:type="dxa"/>
          </w:tcPr>
          <w:p w:rsidR="000761C5" w:rsidRPr="006A0157" w:rsidRDefault="004C2F3F" w:rsidP="006A0157">
            <w:pPr>
              <w:rPr>
                <w:b/>
                <w:bCs/>
                <w:noProof w:val="0"/>
                <w:sz w:val="26"/>
                <w:szCs w:val="26"/>
                <w:rtl/>
              </w:rPr>
            </w:pPr>
            <w:sdt>
              <w:sdtPr>
                <w:rPr>
                  <w:rFonts w:hint="cs"/>
                  <w:b/>
                  <w:bCs/>
                  <w:noProof w:val="0"/>
                  <w:sz w:val="26"/>
                  <w:szCs w:val="26"/>
                  <w:rtl/>
                </w:rPr>
                <w:alias w:val="1478"/>
                <w:tag w:val="1478"/>
                <w:id w:val="160126198"/>
                <w:text w:multiLine="1"/>
              </w:sdtPr>
              <w:sdtEndPr/>
              <w:sdtContent>
                <w:r w:rsidR="006A0157">
                  <w:rPr>
                    <w:rFonts w:hint="cs"/>
                    <w:b/>
                    <w:bCs/>
                    <w:noProof w:val="0"/>
                    <w:sz w:val="26"/>
                    <w:szCs w:val="26"/>
                  </w:rPr>
                  <w:t>XXX</w:t>
                </w:r>
                <w:r w:rsidR="006A0157">
                  <w:rPr>
                    <w:rFonts w:hint="cs"/>
                    <w:b/>
                    <w:bCs/>
                    <w:noProof w:val="0"/>
                    <w:sz w:val="26"/>
                    <w:szCs w:val="26"/>
                    <w:rtl/>
                  </w:rPr>
                  <w:t xml:space="preserve"> </w:t>
                </w:r>
                <w:r w:rsidR="004237EE">
                  <w:rPr>
                    <w:rFonts w:hint="cs"/>
                    <w:b/>
                    <w:bCs/>
                    <w:noProof w:val="0"/>
                    <w:sz w:val="26"/>
                    <w:szCs w:val="26"/>
                    <w:rtl/>
                  </w:rPr>
                  <w:t>ת.ז.</w:t>
                </w:r>
                <w:r w:rsidR="006A0157">
                  <w:rPr>
                    <w:rFonts w:hint="cs"/>
                    <w:b/>
                    <w:bCs/>
                    <w:noProof w:val="0"/>
                    <w:sz w:val="26"/>
                    <w:szCs w:val="26"/>
                    <w:rtl/>
                  </w:rPr>
                  <w:t xml:space="preserve"> </w:t>
                </w:r>
                <w:r w:rsidR="006A0157">
                  <w:rPr>
                    <w:rFonts w:hint="cs"/>
                    <w:b/>
                    <w:bCs/>
                    <w:noProof w:val="0"/>
                    <w:sz w:val="26"/>
                    <w:szCs w:val="26"/>
                  </w:rPr>
                  <w:t>XXX</w:t>
                </w:r>
                <w:r w:rsidR="006A0157">
                  <w:rPr>
                    <w:rFonts w:hint="cs"/>
                    <w:b/>
                    <w:bCs/>
                    <w:noProof w:val="0"/>
                    <w:sz w:val="26"/>
                    <w:szCs w:val="26"/>
                    <w:rtl/>
                  </w:rPr>
                  <w:t xml:space="preserve"> </w:t>
                </w:r>
                <w:r w:rsidR="004237EE">
                  <w:rPr>
                    <w:rFonts w:hint="cs"/>
                    <w:b/>
                    <w:bCs/>
                    <w:noProof w:val="0"/>
                    <w:sz w:val="26"/>
                    <w:szCs w:val="26"/>
                    <w:rtl/>
                  </w:rPr>
                  <w:t>(קטין)</w:t>
                </w:r>
                <w:r w:rsidR="004237EE">
                  <w:rPr>
                    <w:b/>
                    <w:bCs/>
                    <w:noProof w:val="0"/>
                    <w:sz w:val="26"/>
                    <w:szCs w:val="26"/>
                    <w:rtl/>
                  </w:rPr>
                  <w:br/>
                </w:r>
                <w:r w:rsidR="004237EE">
                  <w:rPr>
                    <w:rFonts w:hint="cs"/>
                    <w:b/>
                    <w:bCs/>
                    <w:noProof w:val="0"/>
                    <w:sz w:val="26"/>
                    <w:szCs w:val="26"/>
                    <w:rtl/>
                  </w:rPr>
                  <w:t>באמצעות אביו, האפוט' הטבעי</w:t>
                </w:r>
                <w:r w:rsidR="004237EE">
                  <w:rPr>
                    <w:b/>
                    <w:bCs/>
                    <w:noProof w:val="0"/>
                    <w:sz w:val="26"/>
                    <w:szCs w:val="26"/>
                    <w:rtl/>
                  </w:rPr>
                  <w:br/>
                </w:r>
                <w:r w:rsidR="006A0157">
                  <w:rPr>
                    <w:rFonts w:hint="cs"/>
                    <w:b/>
                    <w:bCs/>
                    <w:noProof w:val="0"/>
                    <w:sz w:val="26"/>
                    <w:szCs w:val="26"/>
                  </w:rPr>
                  <w:t>XXX</w:t>
                </w:r>
              </w:sdtContent>
            </w:sdt>
            <w:r w:rsidR="009C358E" w:rsidRPr="00431C16">
              <w:rPr>
                <w:rFonts w:hint="cs"/>
                <w:b/>
                <w:bCs/>
                <w:noProof w:val="0"/>
                <w:sz w:val="26"/>
                <w:szCs w:val="26"/>
                <w:rtl/>
              </w:rPr>
              <w:t xml:space="preserve"> </w:t>
            </w:r>
            <w:r w:rsidR="000761C5" w:rsidRPr="00431C16">
              <w:rPr>
                <w:rFonts w:hint="cs"/>
                <w:b/>
                <w:bCs/>
                <w:noProof w:val="0"/>
                <w:sz w:val="26"/>
                <w:szCs w:val="26"/>
                <w:rtl/>
              </w:rPr>
              <w:t>ת.ז.</w:t>
            </w:r>
            <w:r w:rsidR="006A0157">
              <w:rPr>
                <w:rFonts w:hint="cs"/>
                <w:b/>
                <w:bCs/>
                <w:noProof w:val="0"/>
                <w:sz w:val="26"/>
                <w:szCs w:val="26"/>
                <w:rtl/>
              </w:rPr>
              <w:t xml:space="preserve"> </w:t>
            </w:r>
            <w:r w:rsidR="006A0157">
              <w:rPr>
                <w:rFonts w:hint="cs"/>
                <w:b/>
                <w:bCs/>
                <w:noProof w:val="0"/>
                <w:sz w:val="26"/>
                <w:szCs w:val="26"/>
              </w:rPr>
              <w:t>XXX</w:t>
            </w:r>
          </w:p>
          <w:p w:rsidR="006816EC" w:rsidRPr="00431C16" w:rsidRDefault="000761C5" w:rsidP="000761C5">
            <w:pPr>
              <w:rPr>
                <w:rFonts w:ascii="Arial (W1)" w:hAnsi="Arial (W1)"/>
                <w:b/>
                <w:bCs/>
                <w:noProof w:val="0"/>
                <w:sz w:val="26"/>
                <w:szCs w:val="26"/>
              </w:rPr>
            </w:pPr>
            <w:r w:rsidRPr="00431C16">
              <w:rPr>
                <w:rFonts w:hint="cs"/>
                <w:b/>
                <w:bCs/>
                <w:noProof w:val="0"/>
                <w:sz w:val="26"/>
                <w:szCs w:val="26"/>
                <w:rtl/>
              </w:rPr>
              <w:t>ע"י ב"כ עו"ד שלמה מושיץ</w:t>
            </w:r>
          </w:p>
        </w:tc>
      </w:tr>
      <w:tr w:rsidR="006816EC" w:rsidTr="006816EC">
        <w:trPr>
          <w:jc w:val="center"/>
        </w:trPr>
        <w:tc>
          <w:tcPr>
            <w:tcW w:w="8820" w:type="dxa"/>
            <w:gridSpan w:val="3"/>
          </w:tcPr>
          <w:p w:rsidR="006816EC" w:rsidRPr="00431C16" w:rsidRDefault="006816EC">
            <w:pPr>
              <w:rPr>
                <w:rFonts w:ascii="Arial (W1)" w:hAnsi="Arial (W1)"/>
                <w:b/>
                <w:bCs/>
                <w:noProof w:val="0"/>
                <w:sz w:val="26"/>
                <w:szCs w:val="26"/>
                <w:rtl/>
              </w:rPr>
            </w:pPr>
          </w:p>
          <w:p w:rsidR="006816EC" w:rsidRPr="00431C16" w:rsidRDefault="006816EC" w:rsidP="000761C5">
            <w:pPr>
              <w:jc w:val="center"/>
              <w:rPr>
                <w:rFonts w:ascii="Arial (W1)" w:hAnsi="Arial (W1)"/>
                <w:b/>
                <w:bCs/>
                <w:noProof w:val="0"/>
                <w:sz w:val="26"/>
                <w:szCs w:val="26"/>
              </w:rPr>
            </w:pPr>
            <w:r w:rsidRPr="00431C16">
              <w:rPr>
                <w:rFonts w:hint="cs"/>
                <w:b/>
                <w:bCs/>
                <w:noProof w:val="0"/>
                <w:sz w:val="26"/>
                <w:szCs w:val="26"/>
                <w:rtl/>
              </w:rPr>
              <w:t>נגד</w:t>
            </w:r>
          </w:p>
        </w:tc>
      </w:tr>
      <w:tr w:rsidR="006816EC" w:rsidTr="006816EC">
        <w:trPr>
          <w:jc w:val="center"/>
        </w:trPr>
        <w:tc>
          <w:tcPr>
            <w:tcW w:w="3249" w:type="dxa"/>
            <w:gridSpan w:val="2"/>
          </w:tcPr>
          <w:p w:rsidR="006816EC" w:rsidRPr="00431C16" w:rsidRDefault="006816EC">
            <w:pPr>
              <w:rPr>
                <w:rFonts w:ascii="Arial (W1)" w:hAnsi="Arial (W1)"/>
                <w:b/>
                <w:bCs/>
                <w:noProof w:val="0"/>
                <w:sz w:val="26"/>
                <w:szCs w:val="26"/>
                <w:rtl/>
              </w:rPr>
            </w:pPr>
          </w:p>
          <w:p w:rsidR="006816EC" w:rsidRPr="00431C16" w:rsidRDefault="004C2F3F" w:rsidP="000761C5">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0761C5" w:rsidRPr="00431C16">
                  <w:rPr>
                    <w:rFonts w:hint="cs"/>
                    <w:b/>
                    <w:bCs/>
                    <w:noProof w:val="0"/>
                    <w:sz w:val="26"/>
                    <w:szCs w:val="26"/>
                    <w:rtl/>
                  </w:rPr>
                  <w:t>ה</w:t>
                </w:r>
                <w:r w:rsidR="00E44DDF" w:rsidRPr="00431C16">
                  <w:rPr>
                    <w:rFonts w:hint="cs"/>
                    <w:b/>
                    <w:bCs/>
                    <w:noProof w:val="0"/>
                    <w:sz w:val="26"/>
                    <w:szCs w:val="26"/>
                    <w:rtl/>
                  </w:rPr>
                  <w:t>נתבע</w:t>
                </w:r>
                <w:r w:rsidR="000761C5" w:rsidRPr="00431C16">
                  <w:rPr>
                    <w:rFonts w:hint="cs"/>
                    <w:b/>
                    <w:bCs/>
                    <w:noProof w:val="0"/>
                    <w:sz w:val="26"/>
                    <w:szCs w:val="26"/>
                    <w:rtl/>
                  </w:rPr>
                  <w:t>ת:</w:t>
                </w:r>
              </w:sdtContent>
            </w:sdt>
          </w:p>
        </w:tc>
        <w:tc>
          <w:tcPr>
            <w:tcW w:w="5571" w:type="dxa"/>
          </w:tcPr>
          <w:p w:rsidR="006816EC" w:rsidRPr="00431C16" w:rsidRDefault="006816EC">
            <w:pPr>
              <w:rPr>
                <w:rFonts w:ascii="Arial (W1)" w:hAnsi="Arial (W1)"/>
                <w:b/>
                <w:bCs/>
                <w:noProof w:val="0"/>
                <w:sz w:val="26"/>
                <w:szCs w:val="26"/>
                <w:rtl/>
              </w:rPr>
            </w:pPr>
          </w:p>
          <w:p w:rsidR="000761C5" w:rsidRPr="00431C16" w:rsidRDefault="004C2F3F" w:rsidP="006A0157">
            <w:pPr>
              <w:rPr>
                <w:b/>
                <w:bCs/>
                <w:noProof w:val="0"/>
                <w:sz w:val="26"/>
                <w:szCs w:val="26"/>
                <w:rtl/>
              </w:rPr>
            </w:pPr>
            <w:sdt>
              <w:sdtPr>
                <w:rPr>
                  <w:rFonts w:hint="cs"/>
                  <w:b/>
                  <w:bCs/>
                  <w:noProof w:val="0"/>
                  <w:sz w:val="26"/>
                  <w:szCs w:val="26"/>
                  <w:rtl/>
                </w:rPr>
                <w:alias w:val="1486"/>
                <w:tag w:val="1486"/>
                <w:id w:val="1487590763"/>
                <w:text w:multiLine="1"/>
              </w:sdtPr>
              <w:sdtEndPr/>
              <w:sdtContent>
                <w:r w:rsidR="006A0157">
                  <w:rPr>
                    <w:rFonts w:hint="cs"/>
                    <w:b/>
                    <w:bCs/>
                    <w:noProof w:val="0"/>
                    <w:sz w:val="26"/>
                    <w:szCs w:val="26"/>
                  </w:rPr>
                  <w:t>XXX</w:t>
                </w:r>
              </w:sdtContent>
            </w:sdt>
            <w:r w:rsidR="009C358E" w:rsidRPr="00431C16">
              <w:rPr>
                <w:rFonts w:hint="cs"/>
                <w:b/>
                <w:bCs/>
                <w:noProof w:val="0"/>
                <w:sz w:val="26"/>
                <w:szCs w:val="26"/>
                <w:rtl/>
              </w:rPr>
              <w:t xml:space="preserve"> </w:t>
            </w:r>
            <w:r w:rsidR="000761C5" w:rsidRPr="00431C16">
              <w:rPr>
                <w:rFonts w:hint="cs"/>
                <w:b/>
                <w:bCs/>
                <w:noProof w:val="0"/>
                <w:sz w:val="26"/>
                <w:szCs w:val="26"/>
                <w:rtl/>
              </w:rPr>
              <w:t>ת.ז.</w:t>
            </w:r>
            <w:r w:rsidR="006A0157">
              <w:rPr>
                <w:rFonts w:hint="cs"/>
                <w:b/>
                <w:bCs/>
                <w:noProof w:val="0"/>
                <w:sz w:val="26"/>
                <w:szCs w:val="26"/>
                <w:rtl/>
              </w:rPr>
              <w:t xml:space="preserve"> </w:t>
            </w:r>
            <w:r w:rsidR="006A0157">
              <w:rPr>
                <w:rFonts w:hint="cs"/>
                <w:b/>
                <w:bCs/>
                <w:noProof w:val="0"/>
                <w:sz w:val="26"/>
                <w:szCs w:val="26"/>
              </w:rPr>
              <w:t>XXX</w:t>
            </w:r>
          </w:p>
          <w:p w:rsidR="000761C5" w:rsidRPr="00431C16" w:rsidRDefault="000761C5">
            <w:pPr>
              <w:rPr>
                <w:b/>
                <w:bCs/>
                <w:noProof w:val="0"/>
                <w:sz w:val="26"/>
                <w:szCs w:val="26"/>
                <w:rtl/>
              </w:rPr>
            </w:pPr>
            <w:r w:rsidRPr="00431C16">
              <w:rPr>
                <w:rFonts w:hint="cs"/>
                <w:b/>
                <w:bCs/>
                <w:noProof w:val="0"/>
                <w:sz w:val="26"/>
                <w:szCs w:val="26"/>
                <w:rtl/>
              </w:rPr>
              <w:t>ע"י ב"כ עו"ד עמוס צדיקה</w:t>
            </w:r>
          </w:p>
          <w:p w:rsidR="006816EC" w:rsidRPr="00431C16" w:rsidRDefault="006816EC" w:rsidP="000761C5">
            <w:pPr>
              <w:rPr>
                <w:rFonts w:ascii="Arial (W1)" w:hAnsi="Arial (W1)"/>
                <w:b/>
                <w:bCs/>
                <w:noProof w:val="0"/>
                <w:sz w:val="26"/>
                <w:szCs w:val="26"/>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431C16" w:rsidRDefault="00005C8B">
            <w:pPr>
              <w:bidi w:val="0"/>
              <w:jc w:val="center"/>
              <w:rPr>
                <w:rFonts w:ascii="Arial" w:hAnsi="Arial"/>
                <w:b/>
                <w:bCs/>
                <w:noProof w:val="0"/>
                <w:sz w:val="30"/>
                <w:szCs w:val="30"/>
                <w:u w:val="single"/>
              </w:rPr>
            </w:pPr>
            <w:r w:rsidRPr="00431C16">
              <w:rPr>
                <w:rFonts w:ascii="Arial" w:hAnsi="Arial"/>
                <w:b/>
                <w:bCs/>
                <w:noProof w:val="0"/>
                <w:sz w:val="30"/>
                <w:szCs w:val="30"/>
                <w:u w:val="single"/>
                <w:rtl/>
              </w:rPr>
              <w:t>פסק דין</w:t>
            </w:r>
          </w:p>
        </w:tc>
      </w:tr>
    </w:tbl>
    <w:p w:rsidR="00431C16" w:rsidRDefault="00431C16" w:rsidP="00431C16">
      <w:pPr>
        <w:pStyle w:val="ad"/>
        <w:spacing w:after="0" w:line="360" w:lineRule="auto"/>
        <w:ind w:left="368"/>
        <w:jc w:val="both"/>
        <w:rPr>
          <w:rFonts w:ascii="David" w:hAnsi="David" w:cs="David"/>
          <w:sz w:val="24"/>
          <w:szCs w:val="24"/>
        </w:rPr>
      </w:pPr>
    </w:p>
    <w:p w:rsidR="00431C16" w:rsidRPr="00DA7E66" w:rsidRDefault="00431C16" w:rsidP="00DA7E66">
      <w:pPr>
        <w:spacing w:line="360" w:lineRule="auto"/>
        <w:jc w:val="both"/>
        <w:rPr>
          <w:rFonts w:ascii="David" w:hAnsi="David"/>
          <w:b/>
          <w:bCs/>
          <w:u w:val="single"/>
          <w:rtl/>
        </w:rPr>
      </w:pPr>
      <w:r w:rsidRPr="00DA7E66">
        <w:rPr>
          <w:rFonts w:ascii="David" w:hAnsi="David"/>
          <w:b/>
          <w:bCs/>
          <w:u w:val="single"/>
          <w:rtl/>
        </w:rPr>
        <w:t>מבוא:</w:t>
      </w:r>
    </w:p>
    <w:p w:rsidR="007F3EBB" w:rsidRPr="00DA7E66" w:rsidRDefault="007F3EBB" w:rsidP="00DA7E66">
      <w:pPr>
        <w:spacing w:line="360" w:lineRule="auto"/>
        <w:jc w:val="both"/>
        <w:rPr>
          <w:rFonts w:ascii="David" w:hAnsi="David"/>
          <w:b/>
          <w:bCs/>
          <w:u w:val="single"/>
        </w:rPr>
      </w:pPr>
    </w:p>
    <w:p w:rsidR="00431C16" w:rsidRPr="00DA7E66" w:rsidRDefault="00431C16" w:rsidP="006A0157">
      <w:pPr>
        <w:spacing w:line="360" w:lineRule="auto"/>
        <w:jc w:val="both"/>
        <w:rPr>
          <w:rFonts w:ascii="David" w:hAnsi="David"/>
          <w:rtl/>
        </w:rPr>
      </w:pPr>
      <w:r w:rsidRPr="00DA7E66">
        <w:rPr>
          <w:rFonts w:ascii="David" w:hAnsi="David"/>
          <w:rtl/>
        </w:rPr>
        <w:t xml:space="preserve">בפניי תביעה להסרת חיסיון אשר הוגשה על ידי מר </w:t>
      </w:r>
      <w:r w:rsidR="006A0157">
        <w:rPr>
          <w:rFonts w:ascii="David" w:hAnsi="David" w:hint="cs"/>
        </w:rPr>
        <w:t>XXX</w:t>
      </w:r>
      <w:r w:rsidRPr="00DA7E66">
        <w:rPr>
          <w:rFonts w:ascii="David" w:hAnsi="David"/>
          <w:rtl/>
        </w:rPr>
        <w:t xml:space="preserve"> (להלן: "</w:t>
      </w:r>
      <w:r w:rsidRPr="00DA7E66">
        <w:rPr>
          <w:rFonts w:ascii="David" w:hAnsi="David"/>
          <w:b/>
          <w:bCs/>
          <w:rtl/>
        </w:rPr>
        <w:t>התובע</w:t>
      </w:r>
      <w:r w:rsidRPr="00DA7E66">
        <w:rPr>
          <w:rFonts w:ascii="David" w:hAnsi="David"/>
          <w:rtl/>
        </w:rPr>
        <w:t>" או "</w:t>
      </w:r>
      <w:r w:rsidRPr="00DA7E66">
        <w:rPr>
          <w:rFonts w:ascii="David" w:hAnsi="David"/>
          <w:b/>
          <w:bCs/>
          <w:rtl/>
        </w:rPr>
        <w:t>האב</w:t>
      </w:r>
      <w:r w:rsidRPr="00DA7E66">
        <w:rPr>
          <w:rFonts w:ascii="David" w:hAnsi="David"/>
          <w:rtl/>
        </w:rPr>
        <w:t xml:space="preserve">") כנגד הגב' </w:t>
      </w:r>
      <w:r w:rsidR="006A0157">
        <w:rPr>
          <w:rFonts w:ascii="David" w:hAnsi="David" w:hint="cs"/>
        </w:rPr>
        <w:t>XXX</w:t>
      </w:r>
      <w:r w:rsidRPr="00DA7E66">
        <w:rPr>
          <w:rFonts w:ascii="David" w:hAnsi="David"/>
          <w:rtl/>
        </w:rPr>
        <w:t xml:space="preserve"> (להלן: "</w:t>
      </w:r>
      <w:r w:rsidRPr="00DA7E66">
        <w:rPr>
          <w:rFonts w:ascii="David" w:hAnsi="David"/>
          <w:b/>
          <w:bCs/>
          <w:rtl/>
        </w:rPr>
        <w:t>הנתבעת</w:t>
      </w:r>
      <w:r w:rsidRPr="00DA7E66">
        <w:rPr>
          <w:rFonts w:ascii="David" w:hAnsi="David"/>
          <w:rtl/>
        </w:rPr>
        <w:t>" או "</w:t>
      </w:r>
      <w:r w:rsidRPr="00DA7E66">
        <w:rPr>
          <w:rFonts w:ascii="David" w:hAnsi="David"/>
          <w:b/>
          <w:bCs/>
          <w:rtl/>
        </w:rPr>
        <w:t>האם</w:t>
      </w:r>
      <w:r w:rsidRPr="00DA7E66">
        <w:rPr>
          <w:rFonts w:ascii="David" w:hAnsi="David"/>
          <w:rtl/>
        </w:rPr>
        <w:t>").</w:t>
      </w:r>
    </w:p>
    <w:p w:rsidR="00431C16" w:rsidRPr="00DA7E66" w:rsidRDefault="00431C16" w:rsidP="00DA7E66">
      <w:pPr>
        <w:spacing w:line="360" w:lineRule="auto"/>
        <w:jc w:val="both"/>
        <w:rPr>
          <w:rFonts w:ascii="David" w:hAnsi="David"/>
          <w:rtl/>
        </w:rPr>
      </w:pPr>
    </w:p>
    <w:p w:rsidR="00431C16" w:rsidRPr="00DA7E66" w:rsidRDefault="00431C16" w:rsidP="00DA7E66">
      <w:pPr>
        <w:spacing w:line="360" w:lineRule="auto"/>
        <w:jc w:val="both"/>
        <w:rPr>
          <w:rFonts w:ascii="David" w:hAnsi="David"/>
          <w:b/>
          <w:bCs/>
          <w:u w:val="single"/>
          <w:rtl/>
        </w:rPr>
      </w:pPr>
      <w:r w:rsidRPr="00DA7E66">
        <w:rPr>
          <w:rFonts w:ascii="David" w:hAnsi="David"/>
          <w:b/>
          <w:bCs/>
          <w:u w:val="single"/>
          <w:rtl/>
        </w:rPr>
        <w:t>רקע וסקירה דיונית:</w:t>
      </w:r>
    </w:p>
    <w:p w:rsidR="00431C16" w:rsidRPr="00DA7E66" w:rsidRDefault="00431C16" w:rsidP="00DA7E66">
      <w:pPr>
        <w:spacing w:line="360" w:lineRule="auto"/>
        <w:jc w:val="both"/>
        <w:rPr>
          <w:rFonts w:ascii="David" w:hAnsi="David"/>
          <w:b/>
          <w:bCs/>
          <w:u w:val="single"/>
          <w:rtl/>
        </w:rPr>
      </w:pPr>
    </w:p>
    <w:p w:rsidR="00431C16" w:rsidRPr="006A0157" w:rsidRDefault="00431C16" w:rsidP="006A0157">
      <w:pPr>
        <w:numPr>
          <w:ilvl w:val="0"/>
          <w:numId w:val="1"/>
        </w:numPr>
        <w:spacing w:line="360" w:lineRule="auto"/>
        <w:ind w:left="283"/>
        <w:contextualSpacing/>
        <w:jc w:val="both"/>
        <w:rPr>
          <w:rFonts w:ascii="David" w:hAnsi="David"/>
          <w:rtl/>
        </w:rPr>
      </w:pPr>
      <w:r w:rsidRPr="00DA7E66">
        <w:rPr>
          <w:rFonts w:ascii="David" w:hAnsi="David"/>
          <w:rtl/>
        </w:rPr>
        <w:t>הצדדים נישאו ביום</w:t>
      </w:r>
      <w:r w:rsidR="006A0157">
        <w:rPr>
          <w:rFonts w:ascii="David" w:hAnsi="David" w:hint="cs"/>
          <w:rtl/>
        </w:rPr>
        <w:t xml:space="preserve"> </w:t>
      </w:r>
      <w:r w:rsidR="006A0157">
        <w:rPr>
          <w:rFonts w:ascii="David" w:hAnsi="David" w:hint="cs"/>
        </w:rPr>
        <w:t>XX</w:t>
      </w:r>
      <w:r w:rsidR="006A0157">
        <w:rPr>
          <w:rFonts w:ascii="David" w:hAnsi="David"/>
        </w:rPr>
        <w:t>/06</w:t>
      </w:r>
      <w:r w:rsidRPr="006A0157">
        <w:rPr>
          <w:rFonts w:ascii="David" w:hAnsi="David"/>
          <w:rtl/>
        </w:rPr>
        <w:t xml:space="preserve">, ובמסגרת הנישואין נולד להם בן יחיד, </w:t>
      </w:r>
      <w:r w:rsidR="006A0157" w:rsidRPr="006A0157">
        <w:rPr>
          <w:rFonts w:ascii="David" w:hAnsi="David" w:hint="cs"/>
          <w:lang w:eastAsia="he-IL"/>
        </w:rPr>
        <w:t>XXX</w:t>
      </w:r>
      <w:r w:rsidRPr="006A0157">
        <w:rPr>
          <w:rFonts w:ascii="David" w:hAnsi="David"/>
          <w:rtl/>
          <w:lang w:eastAsia="he-IL"/>
        </w:rPr>
        <w:t>, יליד</w:t>
      </w:r>
      <w:r w:rsidR="006A0157" w:rsidRPr="006A0157">
        <w:rPr>
          <w:rFonts w:ascii="David" w:hAnsi="David" w:hint="cs"/>
          <w:rtl/>
          <w:lang w:eastAsia="he-IL"/>
        </w:rPr>
        <w:t xml:space="preserve"> </w:t>
      </w:r>
      <w:r w:rsidR="006A0157" w:rsidRPr="006A0157">
        <w:rPr>
          <w:rFonts w:ascii="David" w:hAnsi="David" w:hint="cs"/>
          <w:lang w:eastAsia="he-IL"/>
        </w:rPr>
        <w:t>XX</w:t>
      </w:r>
      <w:r w:rsidR="006A0157" w:rsidRPr="006A0157">
        <w:rPr>
          <w:rFonts w:ascii="David" w:hAnsi="David"/>
          <w:lang w:eastAsia="he-IL"/>
        </w:rPr>
        <w:t>/07</w:t>
      </w:r>
      <w:r w:rsidRPr="006A0157">
        <w:rPr>
          <w:rFonts w:ascii="David" w:hAnsi="David"/>
          <w:rtl/>
          <w:lang w:eastAsia="he-IL"/>
        </w:rPr>
        <w:t xml:space="preserve"> (להלן ייקרא בשמו הפרטי או "</w:t>
      </w:r>
      <w:r w:rsidRPr="006A0157">
        <w:rPr>
          <w:rFonts w:ascii="David" w:hAnsi="David"/>
          <w:b/>
          <w:bCs/>
          <w:rtl/>
          <w:lang w:eastAsia="he-IL"/>
        </w:rPr>
        <w:t>הקטין</w:t>
      </w:r>
      <w:r w:rsidRPr="006A0157">
        <w:rPr>
          <w:rFonts w:ascii="David" w:hAnsi="David"/>
          <w:rtl/>
          <w:lang w:eastAsia="he-IL"/>
        </w:rPr>
        <w:t>")</w:t>
      </w:r>
      <w:r w:rsidR="001C6808" w:rsidRPr="006A0157">
        <w:rPr>
          <w:rFonts w:ascii="David" w:hAnsi="David"/>
          <w:rtl/>
          <w:lang w:eastAsia="he-IL"/>
        </w:rPr>
        <w:t>,</w:t>
      </w:r>
      <w:r w:rsidRPr="006A0157">
        <w:rPr>
          <w:rFonts w:ascii="David" w:hAnsi="David"/>
          <w:rtl/>
          <w:lang w:eastAsia="he-IL"/>
        </w:rPr>
        <w:t xml:space="preserve"> בקרוב ימלאו לו 16 שנים.</w:t>
      </w:r>
    </w:p>
    <w:p w:rsidR="00431C16" w:rsidRPr="00DA7E66" w:rsidRDefault="00431C16" w:rsidP="00DA7E66">
      <w:pPr>
        <w:spacing w:line="360" w:lineRule="auto"/>
        <w:ind w:left="283"/>
        <w:contextualSpacing/>
        <w:jc w:val="both"/>
        <w:rPr>
          <w:rFonts w:ascii="David" w:hAnsi="David"/>
          <w:rtl/>
        </w:rPr>
      </w:pPr>
    </w:p>
    <w:p w:rsidR="00431C16" w:rsidRPr="00DA7E66" w:rsidRDefault="00431C16" w:rsidP="00DA7E66">
      <w:pPr>
        <w:numPr>
          <w:ilvl w:val="0"/>
          <w:numId w:val="1"/>
        </w:numPr>
        <w:spacing w:line="360" w:lineRule="auto"/>
        <w:ind w:left="283"/>
        <w:contextualSpacing/>
        <w:jc w:val="both"/>
        <w:rPr>
          <w:rFonts w:ascii="David" w:hAnsi="David"/>
          <w:rtl/>
        </w:rPr>
      </w:pPr>
      <w:r w:rsidRPr="00DA7E66">
        <w:rPr>
          <w:rFonts w:ascii="David" w:hAnsi="David"/>
          <w:rtl/>
        </w:rPr>
        <w:t>הצדדים נפרדו ביום 28.10.07, ומאז הם מנהלים הליכים משפטיים ממושכים ביניהם בבית משפט זה, בבית המשפט המחוזי ובבית המשפט העליון.</w:t>
      </w:r>
      <w:r w:rsidR="00D53B62">
        <w:rPr>
          <w:rFonts w:ascii="David" w:hAnsi="David" w:hint="cs"/>
          <w:rtl/>
        </w:rPr>
        <w:t xml:space="preserve"> </w:t>
      </w:r>
    </w:p>
    <w:p w:rsidR="00431C16" w:rsidRPr="00DA7E66" w:rsidRDefault="00431C16" w:rsidP="00DA7E66">
      <w:pPr>
        <w:pStyle w:val="ad"/>
        <w:spacing w:after="0" w:line="360" w:lineRule="auto"/>
        <w:jc w:val="both"/>
        <w:rPr>
          <w:rFonts w:ascii="David" w:hAnsi="David" w:cs="David"/>
          <w:sz w:val="24"/>
          <w:szCs w:val="24"/>
        </w:rPr>
      </w:pPr>
    </w:p>
    <w:p w:rsidR="00431C16" w:rsidRPr="00DA7E66" w:rsidRDefault="00431C16" w:rsidP="00D53B62">
      <w:pPr>
        <w:numPr>
          <w:ilvl w:val="0"/>
          <w:numId w:val="1"/>
        </w:numPr>
        <w:spacing w:line="360" w:lineRule="auto"/>
        <w:ind w:left="283"/>
        <w:contextualSpacing/>
        <w:jc w:val="both"/>
        <w:rPr>
          <w:rFonts w:ascii="David" w:hAnsi="David"/>
          <w:rtl/>
        </w:rPr>
      </w:pPr>
      <w:r w:rsidRPr="00DA7E66">
        <w:rPr>
          <w:rFonts w:ascii="David" w:hAnsi="David"/>
          <w:rtl/>
        </w:rPr>
        <w:t>במ</w:t>
      </w:r>
      <w:r w:rsidR="00D53B62">
        <w:rPr>
          <w:rFonts w:ascii="David" w:hAnsi="David" w:hint="cs"/>
          <w:rtl/>
        </w:rPr>
        <w:t>הלך</w:t>
      </w:r>
      <w:r w:rsidRPr="00DA7E66">
        <w:rPr>
          <w:rFonts w:ascii="David" w:hAnsi="David"/>
          <w:rtl/>
        </w:rPr>
        <w:t xml:space="preserve"> ההליכים, נשמע הקטין בלשכתי בנוכחות עו"ס יח"ס פעמיים: ביום 28.12.15 וביום 26.5.21. </w:t>
      </w:r>
    </w:p>
    <w:p w:rsidR="00431C16" w:rsidRPr="00DA7E66" w:rsidRDefault="00431C16" w:rsidP="00DA7E66">
      <w:pPr>
        <w:pStyle w:val="ad"/>
        <w:spacing w:after="0" w:line="360" w:lineRule="auto"/>
        <w:jc w:val="both"/>
        <w:rPr>
          <w:rFonts w:ascii="David" w:hAnsi="David" w:cs="David"/>
          <w:sz w:val="24"/>
          <w:szCs w:val="24"/>
        </w:rPr>
      </w:pPr>
    </w:p>
    <w:p w:rsidR="00431C16" w:rsidRPr="00DA7E66" w:rsidRDefault="00431C16" w:rsidP="00DA7E66">
      <w:pPr>
        <w:numPr>
          <w:ilvl w:val="0"/>
          <w:numId w:val="1"/>
        </w:numPr>
        <w:spacing w:line="360" w:lineRule="auto"/>
        <w:ind w:left="283"/>
        <w:contextualSpacing/>
        <w:jc w:val="both"/>
        <w:rPr>
          <w:rFonts w:ascii="David" w:hAnsi="David"/>
          <w:rtl/>
        </w:rPr>
      </w:pPr>
      <w:r w:rsidRPr="00DA7E66">
        <w:rPr>
          <w:rFonts w:ascii="David" w:hAnsi="David"/>
          <w:rtl/>
        </w:rPr>
        <w:t xml:space="preserve">ביום 18.9.22 הגיש האב את התביעה בה עסקינן, במסגרתה עתר להורות על הסרת החיסיון מתרשומות שיחה שנערכו במהלך שמיעת הקטין בלשכת בית המשפט ביום 28.12.15 וביום 26.5.21. ביום 24.11.22 הגישה האם כתב הגנה, במסגרתו עתרה לדחות את התביעה על הסף תוך השתת הוצאות על האב. ביום 11.12.22 הגיש האב תשובה לכתב ההגנה. </w:t>
      </w:r>
    </w:p>
    <w:p w:rsidR="00431C16" w:rsidRPr="00DA7E66" w:rsidRDefault="00431C16" w:rsidP="00DA7E66">
      <w:pPr>
        <w:pStyle w:val="ad"/>
        <w:spacing w:after="0" w:line="360" w:lineRule="auto"/>
        <w:jc w:val="both"/>
        <w:rPr>
          <w:rFonts w:ascii="David" w:hAnsi="David" w:cs="David"/>
          <w:sz w:val="24"/>
          <w:szCs w:val="24"/>
        </w:rPr>
      </w:pPr>
    </w:p>
    <w:p w:rsidR="00431C16" w:rsidRDefault="00431C16" w:rsidP="00DA7E66">
      <w:pPr>
        <w:numPr>
          <w:ilvl w:val="0"/>
          <w:numId w:val="1"/>
        </w:numPr>
        <w:spacing w:line="360" w:lineRule="auto"/>
        <w:ind w:left="283"/>
        <w:contextualSpacing/>
        <w:jc w:val="both"/>
        <w:rPr>
          <w:rFonts w:ascii="David" w:hAnsi="David"/>
        </w:rPr>
      </w:pPr>
      <w:r w:rsidRPr="00DA7E66">
        <w:rPr>
          <w:rFonts w:ascii="David" w:hAnsi="David"/>
          <w:rtl/>
        </w:rPr>
        <w:t>ביום 1.3.23 התקיים דיון בפניי במעמד הצדדים, במהלכו חזרו הצדדים על טענותיהם.</w:t>
      </w:r>
    </w:p>
    <w:p w:rsidR="00B620A8" w:rsidRDefault="00B620A8" w:rsidP="00B620A8">
      <w:pPr>
        <w:pStyle w:val="ad"/>
        <w:rPr>
          <w:rFonts w:ascii="David" w:hAnsi="David"/>
          <w:rtl/>
        </w:rPr>
      </w:pPr>
    </w:p>
    <w:p w:rsidR="00431C16" w:rsidRPr="00DA7E66" w:rsidRDefault="00431C16" w:rsidP="00DA7E66">
      <w:pPr>
        <w:spacing w:line="360" w:lineRule="auto"/>
        <w:jc w:val="both"/>
        <w:rPr>
          <w:rFonts w:ascii="David" w:hAnsi="David"/>
          <w:b/>
          <w:bCs/>
          <w:u w:val="single"/>
          <w:rtl/>
        </w:rPr>
      </w:pPr>
      <w:r w:rsidRPr="00DA7E66">
        <w:rPr>
          <w:rFonts w:ascii="David" w:hAnsi="David"/>
          <w:b/>
          <w:bCs/>
          <w:u w:val="single"/>
          <w:rtl/>
        </w:rPr>
        <w:lastRenderedPageBreak/>
        <w:t>דיון והכרעה:</w:t>
      </w:r>
    </w:p>
    <w:p w:rsidR="00431C16" w:rsidRPr="00DA7E66" w:rsidRDefault="00431C16" w:rsidP="00DA7E66">
      <w:pPr>
        <w:spacing w:line="360" w:lineRule="auto"/>
        <w:jc w:val="both"/>
        <w:rPr>
          <w:rFonts w:ascii="David" w:hAnsi="David"/>
          <w:b/>
          <w:bCs/>
          <w:u w:val="single"/>
          <w:rtl/>
        </w:rPr>
      </w:pPr>
    </w:p>
    <w:p w:rsidR="00431C16" w:rsidRPr="00DA7E66" w:rsidRDefault="00431C16" w:rsidP="00DA7E66">
      <w:pPr>
        <w:pStyle w:val="ad"/>
        <w:numPr>
          <w:ilvl w:val="0"/>
          <w:numId w:val="1"/>
        </w:numPr>
        <w:spacing w:after="0" w:line="360" w:lineRule="auto"/>
        <w:ind w:left="283"/>
        <w:jc w:val="both"/>
        <w:rPr>
          <w:rFonts w:ascii="David" w:eastAsia="Times New Roman" w:hAnsi="David" w:cs="David"/>
          <w:noProof/>
          <w:sz w:val="24"/>
          <w:szCs w:val="24"/>
          <w:rtl/>
        </w:rPr>
      </w:pPr>
      <w:r w:rsidRPr="00DA7E66">
        <w:rPr>
          <w:rFonts w:ascii="David" w:eastAsia="Times New Roman" w:hAnsi="David" w:cs="David"/>
          <w:noProof/>
          <w:sz w:val="24"/>
          <w:szCs w:val="24"/>
          <w:rtl/>
        </w:rPr>
        <w:t xml:space="preserve">שתי הערות כלליות ומקדימות- </w:t>
      </w:r>
    </w:p>
    <w:p w:rsidR="00431C16" w:rsidRPr="00DA7E66" w:rsidRDefault="00431C16" w:rsidP="00DA7E66">
      <w:pPr>
        <w:numPr>
          <w:ilvl w:val="0"/>
          <w:numId w:val="2"/>
        </w:numPr>
        <w:spacing w:line="360" w:lineRule="auto"/>
        <w:ind w:left="793"/>
        <w:contextualSpacing/>
        <w:jc w:val="both"/>
        <w:rPr>
          <w:rFonts w:ascii="David" w:eastAsiaTheme="minorHAnsi" w:hAnsi="David"/>
          <w:noProof w:val="0"/>
          <w:rtl/>
        </w:rPr>
      </w:pPr>
      <w:r w:rsidRPr="00DA7E66">
        <w:rPr>
          <w:rFonts w:ascii="David" w:hAnsi="David"/>
          <w:rtl/>
        </w:rPr>
        <w:t xml:space="preserve">כל ההדגשות אינן במקור, אלא אם צוין אחרת. </w:t>
      </w:r>
    </w:p>
    <w:p w:rsidR="00431C16" w:rsidRPr="00DA7E66" w:rsidRDefault="00431C16" w:rsidP="00DA7E66">
      <w:pPr>
        <w:numPr>
          <w:ilvl w:val="0"/>
          <w:numId w:val="2"/>
        </w:numPr>
        <w:spacing w:line="360" w:lineRule="auto"/>
        <w:ind w:left="793"/>
        <w:contextualSpacing/>
        <w:jc w:val="both"/>
        <w:rPr>
          <w:rFonts w:ascii="David" w:hAnsi="David"/>
          <w:rtl/>
        </w:rPr>
      </w:pPr>
      <w:r w:rsidRPr="00DA7E66">
        <w:rPr>
          <w:rFonts w:ascii="David" w:hAnsi="David"/>
          <w:rtl/>
        </w:rPr>
        <w:t>טענות הצדדים ישולבו, במידת הצורך, במסגרת פסק הדין.</w:t>
      </w:r>
    </w:p>
    <w:p w:rsidR="00431C16" w:rsidRPr="00DA7E66" w:rsidRDefault="00431C16" w:rsidP="00DA7E66">
      <w:pPr>
        <w:spacing w:line="360" w:lineRule="auto"/>
        <w:jc w:val="both"/>
        <w:rPr>
          <w:rFonts w:ascii="David" w:hAnsi="David"/>
          <w:rtl/>
        </w:rPr>
      </w:pPr>
    </w:p>
    <w:p w:rsidR="00431C16" w:rsidRPr="00DA7E66" w:rsidRDefault="00431C16" w:rsidP="00DA7E66">
      <w:pPr>
        <w:pStyle w:val="10"/>
        <w:numPr>
          <w:ilvl w:val="0"/>
          <w:numId w:val="1"/>
        </w:numPr>
        <w:spacing w:after="0" w:line="360" w:lineRule="auto"/>
        <w:ind w:left="283"/>
        <w:jc w:val="both"/>
        <w:rPr>
          <w:rFonts w:ascii="David" w:hAnsi="David" w:cs="David"/>
          <w:sz w:val="24"/>
          <w:szCs w:val="24"/>
        </w:rPr>
      </w:pPr>
      <w:r w:rsidRPr="00DA7E66">
        <w:rPr>
          <w:rFonts w:ascii="David" w:hAnsi="David" w:cs="David"/>
          <w:sz w:val="24"/>
          <w:szCs w:val="24"/>
          <w:rtl/>
        </w:rPr>
        <w:t>אקדים אחרית לראשית, ואציין כי לאחר שבחנתי עמדות הצדדים, ושמעתי את הצדדים בפניי, הגעתי לכלל מסקנה כי יש מקום לדחות את התביעה. ואלו טעמיי.</w:t>
      </w:r>
    </w:p>
    <w:p w:rsidR="00431C16" w:rsidRPr="00DA7E66" w:rsidRDefault="00431C16" w:rsidP="00DA7E66">
      <w:pPr>
        <w:pStyle w:val="10"/>
        <w:spacing w:after="0" w:line="360" w:lineRule="auto"/>
        <w:ind w:left="368"/>
        <w:jc w:val="both"/>
        <w:rPr>
          <w:rFonts w:ascii="David" w:hAnsi="David" w:cs="David"/>
          <w:sz w:val="24"/>
          <w:szCs w:val="24"/>
        </w:rPr>
      </w:pPr>
    </w:p>
    <w:p w:rsidR="0098711C" w:rsidRPr="0098711C" w:rsidRDefault="00431C16" w:rsidP="00F814F6">
      <w:pPr>
        <w:pStyle w:val="10"/>
        <w:numPr>
          <w:ilvl w:val="0"/>
          <w:numId w:val="1"/>
        </w:numPr>
        <w:spacing w:after="0" w:line="360" w:lineRule="auto"/>
        <w:ind w:left="283"/>
        <w:jc w:val="both"/>
        <w:rPr>
          <w:rFonts w:ascii="David" w:hAnsi="David" w:cs="David"/>
          <w:sz w:val="24"/>
          <w:szCs w:val="24"/>
          <w:rtl/>
        </w:rPr>
      </w:pPr>
      <w:r w:rsidRPr="0098711C">
        <w:rPr>
          <w:rFonts w:ascii="David" w:hAnsi="David" w:cs="David"/>
          <w:sz w:val="24"/>
          <w:szCs w:val="24"/>
          <w:rtl/>
        </w:rPr>
        <w:t xml:space="preserve">ראשית, ובטרם אדרש לטענות האב בתביעה שבפניי, יוטעם כי התביעה דנן הוגשה בשם הקטין, אולם ברי כי </w:t>
      </w:r>
      <w:r w:rsidRPr="0098711C">
        <w:rPr>
          <w:rFonts w:ascii="David" w:hAnsi="David" w:cs="David"/>
          <w:sz w:val="24"/>
          <w:szCs w:val="24"/>
          <w:u w:val="single"/>
          <w:rtl/>
        </w:rPr>
        <w:t>הלכה למעשה מדובר בתביעת האב</w:t>
      </w:r>
      <w:r w:rsidRPr="0098711C">
        <w:rPr>
          <w:rFonts w:ascii="David" w:hAnsi="David" w:cs="David"/>
          <w:sz w:val="24"/>
          <w:szCs w:val="24"/>
          <w:rtl/>
        </w:rPr>
        <w:t>, כאשר האינטרסים של האב הם העומדים במרכז התביעה, כפי שעולה מסעיפים 19-20 לכתב התביעה:</w:t>
      </w:r>
    </w:p>
    <w:p w:rsidR="0098711C" w:rsidRDefault="00431C16" w:rsidP="0098711C">
      <w:pPr>
        <w:pStyle w:val="10"/>
        <w:spacing w:after="0" w:line="360" w:lineRule="auto"/>
        <w:ind w:left="283"/>
        <w:jc w:val="both"/>
        <w:rPr>
          <w:rFonts w:ascii="David" w:hAnsi="David" w:cs="David"/>
          <w:sz w:val="24"/>
          <w:szCs w:val="24"/>
          <w:rtl/>
        </w:rPr>
      </w:pPr>
      <w:r w:rsidRPr="00DA7E66">
        <w:rPr>
          <w:rFonts w:ascii="David" w:hAnsi="David" w:cs="David"/>
          <w:noProof/>
          <w:sz w:val="24"/>
          <w:szCs w:val="24"/>
        </w:rPr>
        <w:drawing>
          <wp:inline distT="0" distB="0" distL="0" distR="0">
            <wp:extent cx="5187462" cy="133667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9337" cy="1337158"/>
                    </a:xfrm>
                    <a:prstGeom prst="rect">
                      <a:avLst/>
                    </a:prstGeom>
                    <a:noFill/>
                    <a:ln>
                      <a:noFill/>
                    </a:ln>
                  </pic:spPr>
                </pic:pic>
              </a:graphicData>
            </a:graphic>
          </wp:inline>
        </w:drawing>
      </w:r>
    </w:p>
    <w:p w:rsidR="0098711C" w:rsidRDefault="0098711C" w:rsidP="0098711C">
      <w:pPr>
        <w:pStyle w:val="10"/>
        <w:spacing w:after="0" w:line="360" w:lineRule="auto"/>
        <w:ind w:left="283"/>
        <w:jc w:val="both"/>
        <w:rPr>
          <w:rFonts w:ascii="David" w:hAnsi="David" w:cs="David"/>
          <w:sz w:val="24"/>
          <w:szCs w:val="24"/>
          <w:rtl/>
        </w:rPr>
      </w:pPr>
    </w:p>
    <w:p w:rsidR="00431C16" w:rsidRPr="0098711C" w:rsidRDefault="00431C16" w:rsidP="0098711C">
      <w:pPr>
        <w:pStyle w:val="10"/>
        <w:spacing w:after="0" w:line="360" w:lineRule="auto"/>
        <w:ind w:left="283"/>
        <w:jc w:val="both"/>
        <w:rPr>
          <w:rFonts w:ascii="David" w:hAnsi="David" w:cs="David"/>
          <w:sz w:val="24"/>
          <w:szCs w:val="24"/>
          <w:rtl/>
        </w:rPr>
      </w:pPr>
      <w:r w:rsidRPr="0098711C">
        <w:rPr>
          <w:rFonts w:ascii="David" w:hAnsi="David" w:cs="David"/>
          <w:sz w:val="24"/>
          <w:szCs w:val="24"/>
          <w:rtl/>
        </w:rPr>
        <w:t>ראו גם: סעיף 25 לכתב התביעה:</w:t>
      </w:r>
    </w:p>
    <w:p w:rsidR="00431C16" w:rsidRPr="00DA7E66" w:rsidRDefault="00431C16" w:rsidP="00DA7E66">
      <w:pPr>
        <w:pStyle w:val="ad"/>
        <w:spacing w:after="0" w:line="360" w:lineRule="auto"/>
        <w:ind w:left="283"/>
        <w:jc w:val="both"/>
        <w:rPr>
          <w:rFonts w:ascii="David" w:hAnsi="David" w:cs="David"/>
          <w:sz w:val="24"/>
          <w:szCs w:val="24"/>
          <w:rtl/>
        </w:rPr>
      </w:pPr>
      <w:r w:rsidRPr="00DA7E66">
        <w:rPr>
          <w:rFonts w:ascii="David" w:hAnsi="David" w:cs="David"/>
          <w:noProof/>
          <w:sz w:val="24"/>
          <w:szCs w:val="24"/>
        </w:rPr>
        <w:drawing>
          <wp:inline distT="0" distB="0" distL="0" distR="0">
            <wp:extent cx="5249056" cy="720725"/>
            <wp:effectExtent l="0" t="0" r="8890" b="317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3094" cy="721279"/>
                    </a:xfrm>
                    <a:prstGeom prst="rect">
                      <a:avLst/>
                    </a:prstGeom>
                    <a:noFill/>
                    <a:ln>
                      <a:noFill/>
                    </a:ln>
                  </pic:spPr>
                </pic:pic>
              </a:graphicData>
            </a:graphic>
          </wp:inline>
        </w:drawing>
      </w:r>
    </w:p>
    <w:p w:rsidR="00431C16" w:rsidRPr="00DA7E66" w:rsidRDefault="00431C16" w:rsidP="00DA7E66">
      <w:pPr>
        <w:pStyle w:val="ad"/>
        <w:spacing w:after="0" w:line="360" w:lineRule="auto"/>
        <w:ind w:left="368"/>
        <w:jc w:val="both"/>
        <w:rPr>
          <w:rFonts w:ascii="David" w:hAnsi="David" w:cs="David"/>
          <w:sz w:val="24"/>
          <w:szCs w:val="24"/>
          <w:rtl/>
        </w:rPr>
      </w:pPr>
    </w:p>
    <w:p w:rsidR="00431C16" w:rsidRPr="00DA7E66" w:rsidRDefault="00431C16" w:rsidP="00DA7E66">
      <w:pPr>
        <w:pStyle w:val="ad"/>
        <w:spacing w:after="0" w:line="360" w:lineRule="auto"/>
        <w:ind w:left="283"/>
        <w:jc w:val="both"/>
        <w:rPr>
          <w:rFonts w:ascii="David" w:hAnsi="David" w:cs="David"/>
          <w:sz w:val="24"/>
          <w:szCs w:val="24"/>
          <w:u w:val="single"/>
          <w:rtl/>
        </w:rPr>
      </w:pPr>
      <w:r w:rsidRPr="00DA7E66">
        <w:rPr>
          <w:rFonts w:ascii="David" w:hAnsi="David" w:cs="David"/>
          <w:sz w:val="24"/>
          <w:szCs w:val="24"/>
          <w:u w:val="single"/>
          <w:rtl/>
        </w:rPr>
        <w:t>בנסיבות אלו, אני מוצאת כי התביעה הוגשה על ידי האב, לטובת האינטרסים שלו בלבד, ואין בין התביעה דנן לבין טובת הקטין דבר, כי אם טובתו של האב היא העומדת במוקד</w:t>
      </w:r>
      <w:r w:rsidR="0098711C">
        <w:rPr>
          <w:rFonts w:ascii="David" w:hAnsi="David" w:cs="David" w:hint="cs"/>
          <w:sz w:val="24"/>
          <w:szCs w:val="24"/>
          <w:u w:val="single"/>
          <w:rtl/>
        </w:rPr>
        <w:t xml:space="preserve"> ההליך בו נקט האב</w:t>
      </w:r>
      <w:r w:rsidRPr="00DA7E66">
        <w:rPr>
          <w:rFonts w:ascii="David" w:hAnsi="David" w:cs="David"/>
          <w:sz w:val="24"/>
          <w:szCs w:val="24"/>
          <w:u w:val="single"/>
          <w:rtl/>
        </w:rPr>
        <w:t>.</w:t>
      </w:r>
    </w:p>
    <w:p w:rsidR="00431C16" w:rsidRPr="00DA7E66" w:rsidRDefault="00431C16" w:rsidP="00DA7E66">
      <w:pPr>
        <w:pStyle w:val="ad"/>
        <w:spacing w:after="0" w:line="360" w:lineRule="auto"/>
        <w:ind w:left="368"/>
        <w:jc w:val="both"/>
        <w:rPr>
          <w:rFonts w:ascii="David" w:hAnsi="David" w:cs="David"/>
          <w:sz w:val="24"/>
          <w:szCs w:val="24"/>
          <w:u w:val="single"/>
          <w:rtl/>
        </w:rPr>
      </w:pPr>
    </w:p>
    <w:p w:rsidR="00431C16" w:rsidRPr="00DA7E66" w:rsidRDefault="00431C16" w:rsidP="00DA7E66">
      <w:pPr>
        <w:pStyle w:val="ad"/>
        <w:numPr>
          <w:ilvl w:val="0"/>
          <w:numId w:val="1"/>
        </w:numPr>
        <w:spacing w:after="0" w:line="360" w:lineRule="auto"/>
        <w:ind w:left="283"/>
        <w:jc w:val="both"/>
        <w:rPr>
          <w:rFonts w:ascii="David" w:hAnsi="David" w:cs="David"/>
          <w:sz w:val="24"/>
          <w:szCs w:val="24"/>
          <w:rtl/>
        </w:rPr>
      </w:pPr>
      <w:r w:rsidRPr="00DA7E66">
        <w:rPr>
          <w:rFonts w:ascii="David" w:hAnsi="David" w:cs="David"/>
          <w:sz w:val="24"/>
          <w:szCs w:val="24"/>
          <w:rtl/>
        </w:rPr>
        <w:t xml:space="preserve">המסקנה </w:t>
      </w:r>
      <w:r w:rsidR="0098711C">
        <w:rPr>
          <w:rFonts w:ascii="David" w:hAnsi="David" w:cs="David" w:hint="cs"/>
          <w:sz w:val="24"/>
          <w:szCs w:val="24"/>
          <w:rtl/>
        </w:rPr>
        <w:t xml:space="preserve">האמורה </w:t>
      </w:r>
      <w:r w:rsidRPr="00DA7E66">
        <w:rPr>
          <w:rFonts w:ascii="David" w:hAnsi="David" w:cs="David"/>
          <w:sz w:val="24"/>
          <w:szCs w:val="24"/>
          <w:rtl/>
        </w:rPr>
        <w:t>מתחזקת נוכח העובדה כי</w:t>
      </w:r>
      <w:r w:rsidR="00961F71" w:rsidRPr="00DA7E66">
        <w:rPr>
          <w:rFonts w:ascii="David" w:hAnsi="David" w:cs="David"/>
          <w:sz w:val="24"/>
          <w:szCs w:val="24"/>
          <w:rtl/>
        </w:rPr>
        <w:t xml:space="preserve"> קבעתי</w:t>
      </w:r>
      <w:r w:rsidRPr="00DA7E66">
        <w:rPr>
          <w:rFonts w:ascii="David" w:hAnsi="David" w:cs="David"/>
          <w:sz w:val="24"/>
          <w:szCs w:val="24"/>
          <w:rtl/>
        </w:rPr>
        <w:t xml:space="preserve"> </w:t>
      </w:r>
      <w:r w:rsidR="00131763" w:rsidRPr="00DA7E66">
        <w:rPr>
          <w:rFonts w:ascii="David" w:hAnsi="David" w:cs="David"/>
          <w:sz w:val="24"/>
          <w:szCs w:val="24"/>
          <w:rtl/>
        </w:rPr>
        <w:t xml:space="preserve">זה מכבר </w:t>
      </w:r>
      <w:r w:rsidRPr="00DA7E66">
        <w:rPr>
          <w:rFonts w:ascii="David" w:hAnsi="David" w:cs="David"/>
          <w:sz w:val="24"/>
          <w:szCs w:val="24"/>
          <w:rtl/>
        </w:rPr>
        <w:t xml:space="preserve">כי </w:t>
      </w:r>
      <w:r w:rsidRPr="00DA7E66">
        <w:rPr>
          <w:rFonts w:ascii="David" w:hAnsi="David" w:cs="David"/>
          <w:sz w:val="24"/>
          <w:szCs w:val="24"/>
          <w:u w:val="single"/>
          <w:rtl/>
        </w:rPr>
        <w:t>האב אחראי לניכור ההורי של הבן כלפי האם</w:t>
      </w:r>
      <w:r w:rsidRPr="00DA7E66">
        <w:rPr>
          <w:rFonts w:ascii="David" w:hAnsi="David" w:cs="David"/>
          <w:sz w:val="24"/>
          <w:szCs w:val="24"/>
          <w:rtl/>
        </w:rPr>
        <w:t xml:space="preserve"> (ראו: החלטתי מיום 5.6.17). גם כב' בית המשפט המחוזי התייחס לקביעה כאמור בפסק דינו מיום 23.4.18 ברמ"ש 34352-09-17 (בפסקה 16 לפסק דינה של כב' השופטת שושנה שטמר) באומרו כי הקביעה מבוססת על "</w:t>
      </w:r>
      <w:r w:rsidRPr="00DA7E66">
        <w:rPr>
          <w:rFonts w:ascii="David" w:hAnsi="David" w:cs="David"/>
          <w:b/>
          <w:bCs/>
          <w:sz w:val="24"/>
          <w:szCs w:val="24"/>
          <w:rtl/>
        </w:rPr>
        <w:t>התרשמות בית המשפט קמא מהמבקש ומהתנהלותו לאורך שנים רבות, וכן על הדוחות של העו"ס שטיפלו במשפחה, וקביעותיהן לעניין זה חד משמעיות"</w:t>
      </w:r>
      <w:r w:rsidR="00961F71" w:rsidRPr="00DA7E66">
        <w:rPr>
          <w:rFonts w:ascii="David" w:hAnsi="David" w:cs="David"/>
          <w:sz w:val="24"/>
          <w:szCs w:val="24"/>
          <w:rtl/>
        </w:rPr>
        <w:t xml:space="preserve">. </w:t>
      </w:r>
      <w:r w:rsidRPr="00DA7E66">
        <w:rPr>
          <w:rFonts w:ascii="David" w:hAnsi="David" w:cs="David"/>
          <w:sz w:val="24"/>
          <w:szCs w:val="24"/>
          <w:rtl/>
        </w:rPr>
        <w:t>חזר</w:t>
      </w:r>
      <w:r w:rsidR="00961F71" w:rsidRPr="00DA7E66">
        <w:rPr>
          <w:rFonts w:ascii="David" w:hAnsi="David" w:cs="David"/>
          <w:sz w:val="24"/>
          <w:szCs w:val="24"/>
          <w:rtl/>
        </w:rPr>
        <w:t>תי</w:t>
      </w:r>
      <w:r w:rsidRPr="00DA7E66">
        <w:rPr>
          <w:rFonts w:ascii="David" w:hAnsi="David" w:cs="David"/>
          <w:sz w:val="24"/>
          <w:szCs w:val="24"/>
          <w:rtl/>
        </w:rPr>
        <w:t xml:space="preserve"> על הקביעה האמורה גם בפסק הדין מיום 4.9.20 בתמ"ש 31439-03-16 (בפיסקה 29). ערעור שהגיש האב </w:t>
      </w:r>
      <w:r w:rsidR="0098711C">
        <w:rPr>
          <w:rFonts w:ascii="David" w:hAnsi="David" w:cs="David" w:hint="cs"/>
          <w:sz w:val="24"/>
          <w:szCs w:val="24"/>
          <w:rtl/>
        </w:rPr>
        <w:t xml:space="preserve">על פסק הדין האמור </w:t>
      </w:r>
      <w:r w:rsidRPr="00DA7E66">
        <w:rPr>
          <w:rFonts w:ascii="David" w:hAnsi="David" w:cs="David"/>
          <w:sz w:val="24"/>
          <w:szCs w:val="24"/>
          <w:rtl/>
        </w:rPr>
        <w:t xml:space="preserve">נמחק בפסק דינו של כב' השופט סארי ג'יוסי </w:t>
      </w:r>
      <w:r w:rsidRPr="00DA7E66">
        <w:rPr>
          <w:rFonts w:ascii="David" w:hAnsi="David" w:cs="David"/>
          <w:sz w:val="24"/>
          <w:szCs w:val="24"/>
          <w:rtl/>
        </w:rPr>
        <w:lastRenderedPageBreak/>
        <w:t>מיום 13.</w:t>
      </w:r>
      <w:r w:rsidR="00131763" w:rsidRPr="00DA7E66">
        <w:rPr>
          <w:rFonts w:ascii="David" w:hAnsi="David" w:cs="David"/>
          <w:sz w:val="24"/>
          <w:szCs w:val="24"/>
          <w:rtl/>
        </w:rPr>
        <w:t xml:space="preserve">4.21 בעמ"ש 59956-10-20 (ראו: פיסקה 31 </w:t>
      </w:r>
      <w:r w:rsidR="00412484" w:rsidRPr="00DA7E66">
        <w:rPr>
          <w:rFonts w:ascii="David" w:hAnsi="David" w:cs="David"/>
          <w:sz w:val="24"/>
          <w:szCs w:val="24"/>
          <w:rtl/>
        </w:rPr>
        <w:t>לפסק דיני מיום 10.2.22 בתמ"ש 24984-11-14, תמ"ש 24313-03-15, ותלה"מ 7843-04-18 (להלן: "</w:t>
      </w:r>
      <w:r w:rsidR="00131763" w:rsidRPr="00DA7E66">
        <w:rPr>
          <w:rFonts w:ascii="David" w:hAnsi="David" w:cs="David"/>
          <w:b/>
          <w:bCs/>
          <w:sz w:val="24"/>
          <w:szCs w:val="24"/>
          <w:rtl/>
        </w:rPr>
        <w:t>פסק הדין ל</w:t>
      </w:r>
      <w:r w:rsidR="00412484" w:rsidRPr="00DA7E66">
        <w:rPr>
          <w:rFonts w:ascii="David" w:hAnsi="David" w:cs="David"/>
          <w:b/>
          <w:bCs/>
          <w:sz w:val="24"/>
          <w:szCs w:val="24"/>
          <w:rtl/>
        </w:rPr>
        <w:t>אחריות הורית</w:t>
      </w:r>
      <w:r w:rsidR="00412484" w:rsidRPr="00DA7E66">
        <w:rPr>
          <w:rFonts w:ascii="David" w:hAnsi="David" w:cs="David"/>
          <w:sz w:val="24"/>
          <w:szCs w:val="24"/>
          <w:rtl/>
        </w:rPr>
        <w:t>"</w:t>
      </w:r>
      <w:r w:rsidR="00131763" w:rsidRPr="00DA7E66">
        <w:rPr>
          <w:rFonts w:ascii="David" w:hAnsi="David" w:cs="David"/>
          <w:sz w:val="24"/>
          <w:szCs w:val="24"/>
          <w:rtl/>
        </w:rPr>
        <w:t>).</w:t>
      </w:r>
      <w:r w:rsidRPr="00DA7E66">
        <w:rPr>
          <w:rFonts w:ascii="David" w:hAnsi="David" w:cs="David"/>
          <w:sz w:val="24"/>
          <w:szCs w:val="24"/>
          <w:rtl/>
        </w:rPr>
        <w:t xml:space="preserve"> </w:t>
      </w:r>
    </w:p>
    <w:p w:rsidR="00431C16" w:rsidRPr="00DA7E66" w:rsidRDefault="00431C16" w:rsidP="00DA7E66">
      <w:pPr>
        <w:pStyle w:val="ad"/>
        <w:spacing w:after="0" w:line="360" w:lineRule="auto"/>
        <w:ind w:left="368"/>
        <w:jc w:val="both"/>
        <w:rPr>
          <w:rFonts w:ascii="David" w:hAnsi="David" w:cs="David"/>
          <w:sz w:val="24"/>
          <w:szCs w:val="24"/>
          <w:rtl/>
        </w:rPr>
      </w:pPr>
    </w:p>
    <w:p w:rsidR="00431C16" w:rsidRPr="00DA7E66" w:rsidRDefault="00431C16" w:rsidP="00DA7E66">
      <w:pPr>
        <w:pStyle w:val="ad"/>
        <w:numPr>
          <w:ilvl w:val="0"/>
          <w:numId w:val="1"/>
        </w:numPr>
        <w:spacing w:after="0" w:line="360" w:lineRule="auto"/>
        <w:ind w:left="283"/>
        <w:jc w:val="both"/>
        <w:rPr>
          <w:rFonts w:ascii="David" w:hAnsi="David" w:cs="David"/>
          <w:sz w:val="24"/>
          <w:szCs w:val="24"/>
          <w:rtl/>
        </w:rPr>
      </w:pPr>
      <w:r w:rsidRPr="00DA7E66">
        <w:rPr>
          <w:rFonts w:ascii="David" w:hAnsi="David" w:cs="David"/>
          <w:sz w:val="24"/>
          <w:szCs w:val="24"/>
          <w:rtl/>
        </w:rPr>
        <w:t xml:space="preserve">בהקשר זה ייאמר עוד כי </w:t>
      </w:r>
      <w:r w:rsidR="00681DA3" w:rsidRPr="00DA7E66">
        <w:rPr>
          <w:rFonts w:ascii="David" w:hAnsi="David" w:cs="David"/>
          <w:sz w:val="24"/>
          <w:szCs w:val="24"/>
          <w:rtl/>
        </w:rPr>
        <w:t xml:space="preserve">מביעה אני </w:t>
      </w:r>
      <w:r w:rsidRPr="00DA7E66">
        <w:rPr>
          <w:rFonts w:ascii="David" w:hAnsi="David" w:cs="David"/>
          <w:sz w:val="24"/>
          <w:szCs w:val="24"/>
          <w:rtl/>
        </w:rPr>
        <w:t>את מורת רוח</w:t>
      </w:r>
      <w:r w:rsidR="00681DA3" w:rsidRPr="00DA7E66">
        <w:rPr>
          <w:rFonts w:ascii="David" w:hAnsi="David" w:cs="David"/>
          <w:sz w:val="24"/>
          <w:szCs w:val="24"/>
          <w:rtl/>
        </w:rPr>
        <w:t>י</w:t>
      </w:r>
      <w:r w:rsidRPr="00DA7E66">
        <w:rPr>
          <w:rFonts w:ascii="David" w:hAnsi="David" w:cs="David"/>
          <w:sz w:val="24"/>
          <w:szCs w:val="24"/>
          <w:rtl/>
        </w:rPr>
        <w:t xml:space="preserve"> מהעובדה </w:t>
      </w:r>
      <w:r w:rsidR="00681DA3" w:rsidRPr="00DA7E66">
        <w:rPr>
          <w:rFonts w:ascii="David" w:hAnsi="David" w:cs="David"/>
          <w:sz w:val="24"/>
          <w:szCs w:val="24"/>
          <w:rtl/>
        </w:rPr>
        <w:t>ש</w:t>
      </w:r>
      <w:r w:rsidRPr="00DA7E66">
        <w:rPr>
          <w:rFonts w:ascii="David" w:hAnsi="David" w:cs="David"/>
          <w:sz w:val="24"/>
          <w:szCs w:val="24"/>
          <w:rtl/>
        </w:rPr>
        <w:t xml:space="preserve">הקטין קרא את פסק הדין </w:t>
      </w:r>
      <w:r w:rsidR="00412484" w:rsidRPr="00DA7E66">
        <w:rPr>
          <w:rFonts w:ascii="David" w:hAnsi="David" w:cs="David"/>
          <w:sz w:val="24"/>
          <w:szCs w:val="24"/>
          <w:rtl/>
        </w:rPr>
        <w:t xml:space="preserve">לאחריות הורית, </w:t>
      </w:r>
      <w:r w:rsidRPr="00DA7E66">
        <w:rPr>
          <w:rFonts w:ascii="David" w:hAnsi="David" w:cs="David"/>
          <w:sz w:val="24"/>
          <w:szCs w:val="24"/>
          <w:rtl/>
        </w:rPr>
        <w:t>כפי הנטען בסעיף 17 לתביעה:</w:t>
      </w:r>
    </w:p>
    <w:p w:rsidR="00431C16" w:rsidRPr="00DA7E66" w:rsidRDefault="00431C16" w:rsidP="00DA7E66">
      <w:pPr>
        <w:pStyle w:val="ad"/>
        <w:spacing w:after="0" w:line="360" w:lineRule="auto"/>
        <w:ind w:left="283"/>
        <w:jc w:val="both"/>
        <w:rPr>
          <w:rFonts w:ascii="David" w:hAnsi="David" w:cs="David"/>
          <w:sz w:val="24"/>
          <w:szCs w:val="24"/>
        </w:rPr>
      </w:pPr>
      <w:r w:rsidRPr="00DA7E66">
        <w:rPr>
          <w:rFonts w:ascii="David" w:hAnsi="David" w:cs="David"/>
          <w:noProof/>
          <w:sz w:val="24"/>
          <w:szCs w:val="24"/>
        </w:rPr>
        <w:drawing>
          <wp:inline distT="0" distB="0" distL="0" distR="0">
            <wp:extent cx="5231130" cy="536575"/>
            <wp:effectExtent l="0" t="0" r="762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7908" cy="538296"/>
                    </a:xfrm>
                    <a:prstGeom prst="rect">
                      <a:avLst/>
                    </a:prstGeom>
                    <a:noFill/>
                    <a:ln>
                      <a:noFill/>
                    </a:ln>
                  </pic:spPr>
                </pic:pic>
              </a:graphicData>
            </a:graphic>
          </wp:inline>
        </w:drawing>
      </w:r>
    </w:p>
    <w:p w:rsidR="00431C16" w:rsidRPr="00DA7E66" w:rsidRDefault="00431C16" w:rsidP="00DA7E66">
      <w:pPr>
        <w:pStyle w:val="ad"/>
        <w:spacing w:after="0" w:line="360" w:lineRule="auto"/>
        <w:ind w:left="368"/>
        <w:jc w:val="both"/>
        <w:rPr>
          <w:rFonts w:ascii="David" w:hAnsi="David" w:cs="David"/>
          <w:sz w:val="24"/>
          <w:szCs w:val="24"/>
        </w:rPr>
      </w:pPr>
    </w:p>
    <w:p w:rsidR="00431C16" w:rsidRPr="00DA7E66" w:rsidRDefault="002E05A2" w:rsidP="00DA7E66">
      <w:pPr>
        <w:pStyle w:val="ad"/>
        <w:spacing w:after="0" w:line="360" w:lineRule="auto"/>
        <w:ind w:left="283"/>
        <w:jc w:val="both"/>
        <w:rPr>
          <w:rFonts w:ascii="David" w:hAnsi="David" w:cs="David"/>
          <w:b/>
          <w:bCs/>
          <w:sz w:val="24"/>
          <w:szCs w:val="24"/>
          <w:u w:val="single"/>
          <w:rtl/>
        </w:rPr>
      </w:pPr>
      <w:r w:rsidRPr="00DA7E66">
        <w:rPr>
          <w:rFonts w:ascii="David" w:hAnsi="David" w:cs="David"/>
          <w:b/>
          <w:bCs/>
          <w:sz w:val="24"/>
          <w:szCs w:val="24"/>
          <w:u w:val="single"/>
          <w:rtl/>
        </w:rPr>
        <w:t>אני סבורה כי</w:t>
      </w:r>
      <w:r w:rsidR="00431C16" w:rsidRPr="00DA7E66">
        <w:rPr>
          <w:rFonts w:ascii="David" w:hAnsi="David" w:cs="David"/>
          <w:b/>
          <w:bCs/>
          <w:sz w:val="24"/>
          <w:szCs w:val="24"/>
          <w:u w:val="single"/>
          <w:rtl/>
        </w:rPr>
        <w:t xml:space="preserve"> אין כל מקום לחשיפת קטינים לפסק דין העוסק ב</w:t>
      </w:r>
      <w:r w:rsidR="001C6808" w:rsidRPr="00DA7E66">
        <w:rPr>
          <w:rFonts w:ascii="David" w:hAnsi="David" w:cs="David"/>
          <w:b/>
          <w:bCs/>
          <w:sz w:val="24"/>
          <w:szCs w:val="24"/>
          <w:u w:val="single"/>
          <w:rtl/>
        </w:rPr>
        <w:t xml:space="preserve">עניינם. אין כל מקום לעירובם של </w:t>
      </w:r>
      <w:r w:rsidR="00431C16" w:rsidRPr="00DA7E66">
        <w:rPr>
          <w:rFonts w:ascii="David" w:hAnsi="David" w:cs="David"/>
          <w:b/>
          <w:bCs/>
          <w:sz w:val="24"/>
          <w:szCs w:val="24"/>
          <w:u w:val="single"/>
          <w:rtl/>
        </w:rPr>
        <w:t>קטינים בסכסוך בין הוריהם ובהליכים משפטיים הנוגעים אליהם. הדבר עומד בסתירה לט</w:t>
      </w:r>
      <w:r w:rsidR="003145C3">
        <w:rPr>
          <w:rFonts w:ascii="David" w:hAnsi="David" w:cs="David"/>
          <w:b/>
          <w:bCs/>
          <w:sz w:val="24"/>
          <w:szCs w:val="24"/>
          <w:u w:val="single"/>
          <w:rtl/>
        </w:rPr>
        <w:t>ובתם, ומהווה פגיעה בשלומם הנפשי</w:t>
      </w:r>
      <w:r w:rsidR="003145C3">
        <w:rPr>
          <w:rFonts w:ascii="David" w:hAnsi="David" w:cs="David" w:hint="cs"/>
          <w:b/>
          <w:bCs/>
          <w:sz w:val="24"/>
          <w:szCs w:val="24"/>
          <w:u w:val="single"/>
          <w:rtl/>
        </w:rPr>
        <w:t xml:space="preserve"> ובהתפתחותם התקינה.</w:t>
      </w:r>
    </w:p>
    <w:p w:rsidR="00431C16" w:rsidRPr="00DA7E66" w:rsidRDefault="00431C16" w:rsidP="00DA7E66">
      <w:pPr>
        <w:pStyle w:val="ad"/>
        <w:spacing w:after="0" w:line="360" w:lineRule="auto"/>
        <w:ind w:left="368"/>
        <w:jc w:val="both"/>
        <w:rPr>
          <w:rFonts w:ascii="David" w:hAnsi="David" w:cs="David"/>
          <w:sz w:val="24"/>
          <w:szCs w:val="24"/>
          <w:rtl/>
        </w:rPr>
      </w:pPr>
    </w:p>
    <w:p w:rsidR="00431C16" w:rsidRPr="00DA7E66" w:rsidRDefault="00431C16" w:rsidP="00DA7E66">
      <w:pPr>
        <w:pStyle w:val="ad"/>
        <w:numPr>
          <w:ilvl w:val="0"/>
          <w:numId w:val="1"/>
        </w:numPr>
        <w:spacing w:after="0" w:line="360" w:lineRule="auto"/>
        <w:ind w:left="283"/>
        <w:jc w:val="both"/>
        <w:rPr>
          <w:rFonts w:ascii="David" w:hAnsi="David" w:cs="David"/>
          <w:sz w:val="24"/>
          <w:szCs w:val="24"/>
        </w:rPr>
      </w:pPr>
      <w:r w:rsidRPr="00DA7E66">
        <w:rPr>
          <w:rFonts w:ascii="David" w:hAnsi="David" w:cs="David"/>
          <w:sz w:val="24"/>
          <w:szCs w:val="24"/>
          <w:rtl/>
        </w:rPr>
        <w:t xml:space="preserve">כנסקר לעיל, האב עתר להורות על הסרת החיסיון מתרשומות שיחה שנערכו במהלך שמיעת הקטין בלשכת בית המשפט ביום 28.12.15 וביום 26.5.21. </w:t>
      </w:r>
    </w:p>
    <w:p w:rsidR="00431C16" w:rsidRPr="00DA7E66" w:rsidRDefault="00431C16" w:rsidP="00DA7E66">
      <w:pPr>
        <w:pStyle w:val="ad"/>
        <w:spacing w:after="0" w:line="360" w:lineRule="auto"/>
        <w:ind w:left="283"/>
        <w:jc w:val="both"/>
        <w:rPr>
          <w:rFonts w:ascii="David" w:hAnsi="David" w:cs="David"/>
          <w:sz w:val="24"/>
          <w:szCs w:val="24"/>
        </w:rPr>
      </w:pPr>
    </w:p>
    <w:p w:rsidR="00431C16" w:rsidRPr="00DA7E66" w:rsidRDefault="006432E1" w:rsidP="00DA7E66">
      <w:pPr>
        <w:pStyle w:val="ad"/>
        <w:numPr>
          <w:ilvl w:val="0"/>
          <w:numId w:val="1"/>
        </w:numPr>
        <w:spacing w:after="0" w:line="360" w:lineRule="auto"/>
        <w:ind w:left="283"/>
        <w:jc w:val="both"/>
        <w:rPr>
          <w:rFonts w:ascii="David" w:hAnsi="David" w:cs="David"/>
          <w:sz w:val="24"/>
          <w:szCs w:val="24"/>
        </w:rPr>
      </w:pPr>
      <w:r>
        <w:rPr>
          <w:rFonts w:ascii="David" w:hAnsi="David" w:cs="David" w:hint="cs"/>
          <w:sz w:val="24"/>
          <w:szCs w:val="24"/>
          <w:rtl/>
        </w:rPr>
        <w:t xml:space="preserve">לעניין שמיעת הילד, </w:t>
      </w:r>
      <w:r w:rsidR="00431C16" w:rsidRPr="00DA7E66">
        <w:rPr>
          <w:rFonts w:ascii="David" w:hAnsi="David" w:cs="David"/>
          <w:sz w:val="24"/>
          <w:szCs w:val="24"/>
          <w:rtl/>
        </w:rPr>
        <w:t>תקנה 53 לתקנות בית משפט לענייני משפחה (סדרי דין), תשפ"א-2020 (להלן: "</w:t>
      </w:r>
      <w:r w:rsidR="00431C16" w:rsidRPr="00DA7E66">
        <w:rPr>
          <w:rFonts w:ascii="David" w:hAnsi="David" w:cs="David"/>
          <w:b/>
          <w:bCs/>
          <w:sz w:val="24"/>
          <w:szCs w:val="24"/>
          <w:rtl/>
        </w:rPr>
        <w:t>התקנות</w:t>
      </w:r>
      <w:r w:rsidR="00431C16" w:rsidRPr="00DA7E66">
        <w:rPr>
          <w:rFonts w:ascii="David" w:hAnsi="David" w:cs="David"/>
          <w:sz w:val="24"/>
          <w:szCs w:val="24"/>
          <w:rtl/>
        </w:rPr>
        <w:t>") שכותרתה: "שמיעת הילד על ידי שופט" קובעת כדלקמן:</w:t>
      </w:r>
    </w:p>
    <w:p w:rsidR="00431C16" w:rsidRPr="00DA7E66" w:rsidRDefault="00431C16" w:rsidP="00DA7E66">
      <w:pPr>
        <w:pStyle w:val="ad"/>
        <w:spacing w:after="0" w:line="360" w:lineRule="auto"/>
        <w:ind w:left="283"/>
        <w:jc w:val="both"/>
        <w:rPr>
          <w:rFonts w:ascii="David" w:hAnsi="David" w:cs="David"/>
          <w:b/>
          <w:bCs/>
          <w:sz w:val="24"/>
          <w:szCs w:val="24"/>
        </w:rPr>
      </w:pPr>
      <w:r w:rsidRPr="00DA7E66">
        <w:rPr>
          <w:rFonts w:ascii="David" w:hAnsi="David" w:cs="David"/>
          <w:b/>
          <w:bCs/>
          <w:sz w:val="24"/>
          <w:szCs w:val="24"/>
          <w:rtl/>
        </w:rPr>
        <w:t>"</w:t>
      </w:r>
      <w:bookmarkStart w:id="1" w:name="h63"/>
      <w:bookmarkEnd w:id="1"/>
      <w:r w:rsidRPr="00DA7E66">
        <w:rPr>
          <w:rFonts w:ascii="David" w:hAnsi="David" w:cs="David"/>
          <w:b/>
          <w:bCs/>
          <w:sz w:val="24"/>
          <w:szCs w:val="24"/>
          <w:rtl/>
        </w:rPr>
        <w:t>בחר הילד להשמיע את דבריו לפני שופט, רשאי השופט להחליט לשמוע את הילד בנוכחות עובד יחידת הסיוע, וכן רשאי הוא לאפשר נוסף עליו, גם נוכחות של האפוטרופוס לדין; תיערך תרשומת של עיקרי דבריו של הילד בלבד".</w:t>
      </w:r>
    </w:p>
    <w:p w:rsidR="00431C16" w:rsidRPr="00DA7E66" w:rsidRDefault="00431C16" w:rsidP="00DA7E66">
      <w:pPr>
        <w:pStyle w:val="ad"/>
        <w:spacing w:after="0" w:line="360" w:lineRule="auto"/>
        <w:ind w:left="368"/>
        <w:jc w:val="both"/>
        <w:rPr>
          <w:rFonts w:ascii="David" w:hAnsi="David" w:cs="David"/>
          <w:b/>
          <w:bCs/>
          <w:sz w:val="24"/>
          <w:szCs w:val="24"/>
          <w:rtl/>
        </w:rPr>
      </w:pPr>
    </w:p>
    <w:p w:rsidR="00431C16" w:rsidRPr="00DA7E66" w:rsidRDefault="00431C16" w:rsidP="00DA7E66">
      <w:pPr>
        <w:pStyle w:val="ad"/>
        <w:numPr>
          <w:ilvl w:val="0"/>
          <w:numId w:val="1"/>
        </w:numPr>
        <w:spacing w:after="0" w:line="360" w:lineRule="auto"/>
        <w:ind w:left="283"/>
        <w:jc w:val="both"/>
        <w:rPr>
          <w:rFonts w:ascii="David" w:hAnsi="David" w:cs="David"/>
          <w:sz w:val="24"/>
          <w:szCs w:val="24"/>
        </w:rPr>
      </w:pPr>
      <w:r w:rsidRPr="00DA7E66">
        <w:rPr>
          <w:rFonts w:ascii="David" w:hAnsi="David" w:cs="David"/>
          <w:sz w:val="24"/>
          <w:szCs w:val="24"/>
          <w:rtl/>
        </w:rPr>
        <w:t>תקנה 55 לתקנות</w:t>
      </w:r>
      <w:r w:rsidR="006432E1">
        <w:rPr>
          <w:rFonts w:ascii="David" w:hAnsi="David" w:cs="David" w:hint="cs"/>
          <w:sz w:val="24"/>
          <w:szCs w:val="24"/>
          <w:rtl/>
        </w:rPr>
        <w:t>,</w:t>
      </w:r>
      <w:r w:rsidRPr="00DA7E66">
        <w:rPr>
          <w:rFonts w:ascii="David" w:hAnsi="David" w:cs="David"/>
          <w:sz w:val="24"/>
          <w:szCs w:val="24"/>
          <w:rtl/>
        </w:rPr>
        <w:t xml:space="preserve"> שכותרתה: "חיסיון דברי הילד"</w:t>
      </w:r>
      <w:r w:rsidR="006432E1">
        <w:rPr>
          <w:rFonts w:ascii="David" w:hAnsi="David" w:cs="David" w:hint="cs"/>
          <w:sz w:val="24"/>
          <w:szCs w:val="24"/>
          <w:rtl/>
        </w:rPr>
        <w:t>,</w:t>
      </w:r>
      <w:r w:rsidRPr="00DA7E66">
        <w:rPr>
          <w:rFonts w:ascii="David" w:hAnsi="David" w:cs="David"/>
          <w:sz w:val="24"/>
          <w:szCs w:val="24"/>
          <w:rtl/>
        </w:rPr>
        <w:t xml:space="preserve"> מורה כדלקמן:</w:t>
      </w:r>
    </w:p>
    <w:p w:rsidR="00431C16" w:rsidRPr="00DA7E66" w:rsidRDefault="00431C16" w:rsidP="00DA7E66">
      <w:pPr>
        <w:pStyle w:val="ad"/>
        <w:spacing w:after="0" w:line="360" w:lineRule="auto"/>
        <w:ind w:left="283"/>
        <w:jc w:val="both"/>
        <w:rPr>
          <w:rFonts w:ascii="David" w:hAnsi="David" w:cs="David"/>
          <w:b/>
          <w:bCs/>
          <w:sz w:val="24"/>
          <w:szCs w:val="24"/>
        </w:rPr>
      </w:pPr>
      <w:r w:rsidRPr="00DA7E66">
        <w:rPr>
          <w:rFonts w:ascii="David" w:hAnsi="David" w:cs="David"/>
          <w:b/>
          <w:bCs/>
          <w:sz w:val="24"/>
          <w:szCs w:val="24"/>
          <w:rtl/>
        </w:rPr>
        <w:t>"התרשומת של בית המשפט או של עובד יחידת הסיוע וכן דברים שהילד מסר יישמרו בכספת בית המשפט או באופן מאובטח אחר, ויהיו חסויים בפני כל אדם, למעט בית המשפט שלערעור; בית המשפט ששמע את הילד לא יפרט בהחלטתו את דברי הילד, אלא אם כן הסכים הילד לגילוי הדברים, כולם או חלקם, ובית המשפט מצא כי יהיה בגילוי כדי לקדם את טובת הילד".</w:t>
      </w:r>
    </w:p>
    <w:p w:rsidR="00431C16" w:rsidRPr="00B00E54" w:rsidRDefault="00431C16" w:rsidP="00DA7E66">
      <w:pPr>
        <w:pStyle w:val="ad"/>
        <w:spacing w:after="0" w:line="360" w:lineRule="auto"/>
        <w:ind w:left="368"/>
        <w:jc w:val="both"/>
        <w:rPr>
          <w:rFonts w:ascii="David" w:hAnsi="David" w:cs="David"/>
          <w:sz w:val="24"/>
          <w:szCs w:val="24"/>
          <w:rtl/>
        </w:rPr>
      </w:pPr>
    </w:p>
    <w:p w:rsidR="00431C16" w:rsidRPr="00B00E54" w:rsidRDefault="00431C16" w:rsidP="00E60546">
      <w:pPr>
        <w:pStyle w:val="10"/>
        <w:numPr>
          <w:ilvl w:val="0"/>
          <w:numId w:val="1"/>
        </w:numPr>
        <w:spacing w:after="0" w:line="360" w:lineRule="auto"/>
        <w:ind w:left="283"/>
        <w:jc w:val="both"/>
        <w:rPr>
          <w:rFonts w:ascii="David" w:hAnsi="David" w:cs="David"/>
          <w:sz w:val="24"/>
          <w:szCs w:val="24"/>
          <w:rtl/>
        </w:rPr>
      </w:pPr>
      <w:r w:rsidRPr="00B00E54">
        <w:rPr>
          <w:rFonts w:ascii="David" w:hAnsi="David" w:cs="David"/>
          <w:sz w:val="24"/>
          <w:szCs w:val="24"/>
          <w:rtl/>
          <w:lang w:eastAsia="he-IL"/>
        </w:rPr>
        <w:t xml:space="preserve">יצוין כי גם בתקנות הקודמות, קרי </w:t>
      </w:r>
      <w:r w:rsidRPr="00B00E54">
        <w:rPr>
          <w:rFonts w:ascii="David" w:hAnsi="David" w:cs="David"/>
          <w:sz w:val="24"/>
          <w:szCs w:val="24"/>
          <w:rtl/>
        </w:rPr>
        <w:t>תקנות סדר הדין האזרחי, תשמ"ד-1984 כפי שהיו בתוקף עד יום 1.1.2021 (להלן: "</w:t>
      </w:r>
      <w:r w:rsidRPr="00B00E54">
        <w:rPr>
          <w:rFonts w:ascii="David" w:hAnsi="David" w:cs="David"/>
          <w:b/>
          <w:bCs/>
          <w:sz w:val="24"/>
          <w:szCs w:val="24"/>
          <w:rtl/>
        </w:rPr>
        <w:t>התקנות הקודמות</w:t>
      </w:r>
      <w:r w:rsidR="003145C3">
        <w:rPr>
          <w:rFonts w:ascii="David" w:hAnsi="David" w:cs="David"/>
          <w:sz w:val="24"/>
          <w:szCs w:val="24"/>
          <w:rtl/>
        </w:rPr>
        <w:t>")</w:t>
      </w:r>
      <w:r w:rsidR="003145C3">
        <w:rPr>
          <w:rFonts w:ascii="David" w:hAnsi="David" w:cs="David" w:hint="cs"/>
          <w:sz w:val="24"/>
          <w:szCs w:val="24"/>
          <w:rtl/>
        </w:rPr>
        <w:t xml:space="preserve"> </w:t>
      </w:r>
      <w:r w:rsidRPr="00B00E54">
        <w:rPr>
          <w:rFonts w:ascii="David" w:hAnsi="David" w:cs="David"/>
          <w:sz w:val="24"/>
          <w:szCs w:val="24"/>
          <w:rtl/>
        </w:rPr>
        <w:t>תקנה 258לג8</w:t>
      </w:r>
      <w:r w:rsidR="00E60546">
        <w:rPr>
          <w:rFonts w:ascii="David" w:hAnsi="David" w:cs="David" w:hint="cs"/>
          <w:sz w:val="24"/>
          <w:szCs w:val="24"/>
          <w:rtl/>
        </w:rPr>
        <w:t xml:space="preserve"> קבעה לענין זה כי</w:t>
      </w:r>
      <w:r w:rsidRPr="00B00E54">
        <w:rPr>
          <w:rFonts w:ascii="David" w:hAnsi="David" w:cs="David"/>
          <w:sz w:val="24"/>
          <w:szCs w:val="24"/>
          <w:rtl/>
        </w:rPr>
        <w:t>: "</w:t>
      </w:r>
      <w:r w:rsidRPr="00B00E54">
        <w:rPr>
          <w:rFonts w:ascii="David" w:hAnsi="David" w:cs="David"/>
          <w:b/>
          <w:bCs/>
          <w:sz w:val="24"/>
          <w:szCs w:val="24"/>
          <w:rtl/>
        </w:rPr>
        <w:t>התרשומת של בית המשפט או של עובד יחידת הסיוע וכן דברים שהילד מסר יישמרו בכספת בית המשפט ויהיו חסויים בפני כל אדם, למעט בית המשפט שלערעור; בית המשפט ששמע את הילד לא יפרט בהחלטתו את דברי הילד, אלא אם כן הסכים הילד לגילוי הדברים, כולם או חלקם, ובית המשפט מצא כי יהיה בגילוי כדי לקדם את טובת הילד".</w:t>
      </w:r>
    </w:p>
    <w:p w:rsidR="00431C16" w:rsidRPr="00B00E54" w:rsidRDefault="00431C16" w:rsidP="00DA7E66">
      <w:pPr>
        <w:pStyle w:val="10"/>
        <w:spacing w:after="0" w:line="360" w:lineRule="auto"/>
        <w:ind w:left="368"/>
        <w:jc w:val="both"/>
        <w:rPr>
          <w:rFonts w:ascii="David" w:hAnsi="David" w:cs="David"/>
          <w:sz w:val="24"/>
          <w:szCs w:val="24"/>
        </w:rPr>
      </w:pPr>
    </w:p>
    <w:p w:rsidR="00431C16" w:rsidRPr="00B00E54" w:rsidRDefault="00431C16" w:rsidP="00B00E54">
      <w:pPr>
        <w:pStyle w:val="10"/>
        <w:numPr>
          <w:ilvl w:val="0"/>
          <w:numId w:val="1"/>
        </w:numPr>
        <w:spacing w:after="0" w:line="360" w:lineRule="auto"/>
        <w:ind w:left="283"/>
        <w:jc w:val="both"/>
        <w:rPr>
          <w:rFonts w:ascii="David" w:hAnsi="David" w:cs="David"/>
          <w:sz w:val="24"/>
          <w:szCs w:val="24"/>
        </w:rPr>
      </w:pPr>
      <w:r w:rsidRPr="00B00E54">
        <w:rPr>
          <w:rFonts w:ascii="David" w:hAnsi="David" w:cs="David"/>
          <w:sz w:val="24"/>
          <w:szCs w:val="24"/>
          <w:rtl/>
        </w:rPr>
        <w:lastRenderedPageBreak/>
        <w:t>בית המשפט העליון התייחס לאחרונה לתקנה 55 לתקנות במסגרת בג"ץ 5507-22 פלונית נ' בית הדין הרבני האזורי רחובות [פורסם בנבו] (9.11.2022) בפיסקה 15 לפסק הדין</w:t>
      </w:r>
      <w:r w:rsidR="00E60546">
        <w:rPr>
          <w:rFonts w:ascii="David" w:hAnsi="David" w:cs="David" w:hint="cs"/>
          <w:sz w:val="24"/>
          <w:szCs w:val="24"/>
          <w:rtl/>
        </w:rPr>
        <w:t>,</w:t>
      </w:r>
      <w:r w:rsidRPr="00B00E54">
        <w:rPr>
          <w:rFonts w:ascii="David" w:hAnsi="David" w:cs="David"/>
          <w:sz w:val="24"/>
          <w:szCs w:val="24"/>
          <w:rtl/>
        </w:rPr>
        <w:t xml:space="preserve"> באומרו את הדברים הבאים:</w:t>
      </w:r>
      <w:r w:rsidR="00B00E54">
        <w:rPr>
          <w:rFonts w:ascii="David" w:hAnsi="David" w:cs="David" w:hint="cs"/>
          <w:sz w:val="24"/>
          <w:szCs w:val="24"/>
          <w:rtl/>
        </w:rPr>
        <w:t xml:space="preserve"> </w:t>
      </w:r>
      <w:r w:rsidRPr="00B00E54">
        <w:rPr>
          <w:rFonts w:ascii="David" w:hAnsi="David" w:cs="David"/>
          <w:b/>
          <w:bCs/>
          <w:sz w:val="24"/>
          <w:szCs w:val="24"/>
          <w:rtl/>
        </w:rPr>
        <w:t xml:space="preserve">"...היה מקום לערוך פרוטוקול לפגישה זו, </w:t>
      </w:r>
      <w:r w:rsidRPr="00B00E54">
        <w:rPr>
          <w:rFonts w:ascii="David" w:hAnsi="David" w:cs="David"/>
          <w:b/>
          <w:bCs/>
          <w:sz w:val="24"/>
          <w:szCs w:val="24"/>
          <w:u w:val="single"/>
          <w:rtl/>
        </w:rPr>
        <w:t>אף אם יש להותירו חסוי ולהימנע מלהראות אותו לצדדים</w:t>
      </w:r>
      <w:r w:rsidRPr="00B00E54">
        <w:rPr>
          <w:rFonts w:ascii="David" w:hAnsi="David" w:cs="David"/>
          <w:b/>
          <w:bCs/>
          <w:sz w:val="24"/>
          <w:szCs w:val="24"/>
          <w:rtl/>
        </w:rPr>
        <w:t xml:space="preserve"> (השוו: </w:t>
      </w:r>
      <w:hyperlink r:id="rId11" w:history="1">
        <w:r w:rsidRPr="00B00E54">
          <w:rPr>
            <w:rStyle w:val="Hyperlink"/>
            <w:rFonts w:ascii="David" w:hAnsi="David" w:cs="David"/>
            <w:b/>
            <w:bCs/>
            <w:color w:val="auto"/>
            <w:sz w:val="24"/>
            <w:szCs w:val="24"/>
            <w:u w:val="none"/>
            <w:rtl/>
          </w:rPr>
          <w:t>תקנה 55</w:t>
        </w:r>
      </w:hyperlink>
      <w:r w:rsidRPr="00B00E54">
        <w:rPr>
          <w:rFonts w:ascii="David" w:hAnsi="David" w:cs="David"/>
          <w:b/>
          <w:bCs/>
          <w:sz w:val="24"/>
          <w:szCs w:val="24"/>
          <w:rtl/>
        </w:rPr>
        <w:t xml:space="preserve"> לתקנות בית משפט לענייני משפחה). זאת, למצער, על מנת שבית הדין הרבני הגדול יוכל להתרשם משנאמר בפגישה, ככל שיוגש ערעור על החלטת בית הדין האזורי. אי-עריכת פרוטוקול פוגעת באפשרות של בית הדין הרבני הגדול, ביושבו כערכאת ערעור, להפעיל ביקורת על החלטת בית הדין האזורי".</w:t>
      </w:r>
    </w:p>
    <w:p w:rsidR="00431C16" w:rsidRPr="00DA7E66" w:rsidRDefault="0098711C" w:rsidP="00330548">
      <w:pPr>
        <w:pStyle w:val="ad"/>
        <w:spacing w:after="0" w:line="360" w:lineRule="auto"/>
        <w:ind w:left="283"/>
        <w:jc w:val="both"/>
        <w:rPr>
          <w:rFonts w:ascii="David" w:hAnsi="David" w:cs="David"/>
          <w:b/>
          <w:bCs/>
          <w:sz w:val="24"/>
          <w:szCs w:val="24"/>
          <w:rtl/>
        </w:rPr>
      </w:pPr>
      <w:r>
        <w:rPr>
          <w:rFonts w:ascii="David" w:hAnsi="David" w:cs="David"/>
          <w:b/>
          <w:bCs/>
          <w:sz w:val="24"/>
          <w:szCs w:val="24"/>
          <w:u w:val="single"/>
          <w:rtl/>
        </w:rPr>
        <w:t xml:space="preserve">דהיינו, אין חולק </w:t>
      </w:r>
      <w:r w:rsidR="00330548">
        <w:rPr>
          <w:rFonts w:ascii="David" w:hAnsi="David" w:cs="David" w:hint="cs"/>
          <w:b/>
          <w:bCs/>
          <w:sz w:val="24"/>
          <w:szCs w:val="24"/>
          <w:u w:val="single"/>
          <w:rtl/>
        </w:rPr>
        <w:t xml:space="preserve">כי </w:t>
      </w:r>
      <w:r w:rsidR="00431C16" w:rsidRPr="00DA7E66">
        <w:rPr>
          <w:rFonts w:ascii="David" w:hAnsi="David" w:cs="David"/>
          <w:b/>
          <w:bCs/>
          <w:sz w:val="24"/>
          <w:szCs w:val="24"/>
          <w:u w:val="single"/>
          <w:rtl/>
        </w:rPr>
        <w:t>התרשומת של בית המשפט מהפגישה עם הקטין הינה חסויה ויש להימנע מלהראות אותה לצדדים</w:t>
      </w:r>
      <w:r w:rsidR="00431C16" w:rsidRPr="00DA7E66">
        <w:rPr>
          <w:rFonts w:ascii="David" w:hAnsi="David" w:cs="David"/>
          <w:b/>
          <w:bCs/>
          <w:sz w:val="24"/>
          <w:szCs w:val="24"/>
          <w:rtl/>
        </w:rPr>
        <w:t>.</w:t>
      </w:r>
    </w:p>
    <w:p w:rsidR="00431C16" w:rsidRPr="00DA7E66" w:rsidRDefault="00431C16" w:rsidP="00DA7E66">
      <w:pPr>
        <w:pStyle w:val="ad"/>
        <w:spacing w:after="0" w:line="360" w:lineRule="auto"/>
        <w:ind w:left="368"/>
        <w:jc w:val="both"/>
        <w:rPr>
          <w:rFonts w:ascii="David" w:hAnsi="David" w:cs="David"/>
          <w:b/>
          <w:bCs/>
          <w:sz w:val="24"/>
          <w:szCs w:val="24"/>
        </w:rPr>
      </w:pPr>
    </w:p>
    <w:p w:rsidR="00431C16" w:rsidRPr="00DA7E66" w:rsidRDefault="00330548" w:rsidP="00330548">
      <w:pPr>
        <w:pStyle w:val="ad"/>
        <w:numPr>
          <w:ilvl w:val="0"/>
          <w:numId w:val="1"/>
        </w:numPr>
        <w:spacing w:after="0" w:line="360" w:lineRule="auto"/>
        <w:ind w:left="283"/>
        <w:jc w:val="both"/>
        <w:rPr>
          <w:rFonts w:ascii="David" w:hAnsi="David" w:cs="David"/>
          <w:sz w:val="24"/>
          <w:szCs w:val="24"/>
        </w:rPr>
      </w:pPr>
      <w:r>
        <w:rPr>
          <w:rFonts w:ascii="David" w:hAnsi="David" w:cs="David" w:hint="cs"/>
          <w:sz w:val="24"/>
          <w:szCs w:val="24"/>
          <w:rtl/>
        </w:rPr>
        <w:t xml:space="preserve">לאחרונה </w:t>
      </w:r>
      <w:r w:rsidR="00431C16" w:rsidRPr="00DA7E66">
        <w:rPr>
          <w:rFonts w:ascii="David" w:hAnsi="David" w:cs="David"/>
          <w:sz w:val="24"/>
          <w:szCs w:val="24"/>
          <w:rtl/>
        </w:rPr>
        <w:t>בית המשפט המחוזי אף הטעים</w:t>
      </w:r>
      <w:r>
        <w:rPr>
          <w:rFonts w:ascii="David" w:hAnsi="David" w:cs="David" w:hint="cs"/>
          <w:sz w:val="24"/>
          <w:szCs w:val="24"/>
          <w:rtl/>
        </w:rPr>
        <w:t xml:space="preserve"> לעניין זה </w:t>
      </w:r>
      <w:r w:rsidR="00431C16" w:rsidRPr="00DA7E66">
        <w:rPr>
          <w:rFonts w:ascii="David" w:hAnsi="David" w:cs="David"/>
          <w:sz w:val="24"/>
          <w:szCs w:val="24"/>
          <w:rtl/>
        </w:rPr>
        <w:t>כי ידי בית המשפט כבולות בכל הנוגע לתוכן דברי הקטין החסויים. ראו דברי בית המשפט המחוזי ברמ"ש (ב"ש) 23274-10-22 פלונית נ' אלמוני [פורסם בנבו] (17.11.22) בפיסקה 26 לפסק הדין:</w:t>
      </w:r>
    </w:p>
    <w:p w:rsidR="00431C16" w:rsidRPr="00B00E54" w:rsidRDefault="00431C16" w:rsidP="00DA7E66">
      <w:pPr>
        <w:pStyle w:val="ad"/>
        <w:spacing w:after="0" w:line="360" w:lineRule="auto"/>
        <w:ind w:left="283"/>
        <w:jc w:val="both"/>
        <w:rPr>
          <w:rFonts w:ascii="David" w:hAnsi="David" w:cs="David"/>
          <w:sz w:val="24"/>
          <w:szCs w:val="24"/>
          <w:rtl/>
        </w:rPr>
      </w:pPr>
      <w:r w:rsidRPr="00DA7E66">
        <w:rPr>
          <w:rFonts w:ascii="David" w:hAnsi="David" w:cs="David"/>
          <w:b/>
          <w:bCs/>
          <w:sz w:val="24"/>
          <w:szCs w:val="24"/>
          <w:rtl/>
        </w:rPr>
        <w:t xml:space="preserve">"לא נעלם מעיניי כמובן, כי </w:t>
      </w:r>
      <w:r w:rsidRPr="00DA7E66">
        <w:rPr>
          <w:rFonts w:ascii="David" w:hAnsi="David" w:cs="David"/>
          <w:b/>
          <w:bCs/>
          <w:sz w:val="24"/>
          <w:szCs w:val="24"/>
          <w:u w:val="single"/>
          <w:rtl/>
        </w:rPr>
        <w:t>ידי בית משפט קמא היו כבולות בכל הנוגע לתוכן דברי הקטין בפני עו"ס יחידת הסיוע, אשר כידוע, הם חסויים מפני הכל למעט בית המשפט וערכאת הערעור (כקבוע בתקנה 55 לתקנות בית משפט לענייני משפחה (סדרי דין), תשפ"א-2020)</w:t>
      </w:r>
      <w:r w:rsidRPr="00DA7E66">
        <w:rPr>
          <w:rFonts w:ascii="David" w:hAnsi="David" w:cs="David"/>
          <w:b/>
          <w:bCs/>
          <w:sz w:val="24"/>
          <w:szCs w:val="24"/>
          <w:rtl/>
        </w:rPr>
        <w:t>".</w:t>
      </w:r>
    </w:p>
    <w:p w:rsidR="00431C16" w:rsidRPr="00B00E54" w:rsidRDefault="00431C16" w:rsidP="00DA7E66">
      <w:pPr>
        <w:pStyle w:val="ad"/>
        <w:spacing w:after="0" w:line="360" w:lineRule="auto"/>
        <w:ind w:left="283"/>
        <w:jc w:val="both"/>
        <w:rPr>
          <w:rFonts w:ascii="David" w:hAnsi="David" w:cs="David"/>
          <w:sz w:val="24"/>
          <w:szCs w:val="24"/>
          <w:rtl/>
        </w:rPr>
      </w:pPr>
    </w:p>
    <w:p w:rsidR="00431C16" w:rsidRDefault="00330548" w:rsidP="00E60546">
      <w:pPr>
        <w:pStyle w:val="ad"/>
        <w:numPr>
          <w:ilvl w:val="0"/>
          <w:numId w:val="1"/>
        </w:numPr>
        <w:spacing w:after="0" w:line="360" w:lineRule="auto"/>
        <w:ind w:left="283"/>
        <w:jc w:val="both"/>
        <w:rPr>
          <w:rFonts w:ascii="David" w:hAnsi="David" w:cs="David"/>
          <w:sz w:val="24"/>
          <w:szCs w:val="24"/>
        </w:rPr>
      </w:pPr>
      <w:r>
        <w:rPr>
          <w:rFonts w:ascii="David" w:hAnsi="David" w:cs="David" w:hint="cs"/>
          <w:sz w:val="24"/>
          <w:szCs w:val="24"/>
          <w:rtl/>
        </w:rPr>
        <w:t xml:space="preserve">לדידי, </w:t>
      </w:r>
      <w:r w:rsidR="00431C16" w:rsidRPr="00B00E54">
        <w:rPr>
          <w:rFonts w:ascii="David" w:hAnsi="David" w:cs="David"/>
          <w:sz w:val="24"/>
          <w:szCs w:val="24"/>
          <w:rtl/>
        </w:rPr>
        <w:t xml:space="preserve">תכלית </w:t>
      </w:r>
      <w:r w:rsidR="00E60546">
        <w:rPr>
          <w:rFonts w:ascii="David" w:hAnsi="David" w:cs="David" w:hint="cs"/>
          <w:sz w:val="24"/>
          <w:szCs w:val="24"/>
          <w:rtl/>
        </w:rPr>
        <w:t xml:space="preserve">תקנה 55 הנ"ל </w:t>
      </w:r>
      <w:r w:rsidR="00431C16" w:rsidRPr="00B00E54">
        <w:rPr>
          <w:rFonts w:ascii="David" w:hAnsi="David" w:cs="David"/>
          <w:sz w:val="24"/>
          <w:szCs w:val="24"/>
          <w:rtl/>
        </w:rPr>
        <w:t>הינה מתן אפשרות להתרשמות בית המשפט מהקטין ומרצונו באופן ישיר ובלתי אמצעי, וזאת באופן חסוי</w:t>
      </w:r>
      <w:r w:rsidR="00E60546">
        <w:rPr>
          <w:rFonts w:ascii="David" w:hAnsi="David" w:cs="David" w:hint="cs"/>
          <w:sz w:val="24"/>
          <w:szCs w:val="24"/>
          <w:rtl/>
        </w:rPr>
        <w:t>-</w:t>
      </w:r>
      <w:r w:rsidR="00431C16" w:rsidRPr="00B00E54">
        <w:rPr>
          <w:rFonts w:ascii="David" w:hAnsi="David" w:cs="David"/>
          <w:sz w:val="24"/>
          <w:szCs w:val="24"/>
          <w:rtl/>
        </w:rPr>
        <w:t xml:space="preserve"> לטובת הקטין</w:t>
      </w:r>
      <w:r>
        <w:rPr>
          <w:rFonts w:ascii="David" w:hAnsi="David" w:cs="David" w:hint="cs"/>
          <w:sz w:val="24"/>
          <w:szCs w:val="24"/>
          <w:rtl/>
        </w:rPr>
        <w:t>, במטרה למנוע פגיעה בו</w:t>
      </w:r>
      <w:r w:rsidR="004F07EF">
        <w:rPr>
          <w:rFonts w:ascii="David" w:hAnsi="David" w:cs="David" w:hint="cs"/>
          <w:sz w:val="24"/>
          <w:szCs w:val="24"/>
          <w:rtl/>
        </w:rPr>
        <w:t>, בין היתר,</w:t>
      </w:r>
      <w:r>
        <w:rPr>
          <w:rFonts w:ascii="David" w:hAnsi="David" w:cs="David" w:hint="cs"/>
          <w:sz w:val="24"/>
          <w:szCs w:val="24"/>
          <w:rtl/>
        </w:rPr>
        <w:t xml:space="preserve"> </w:t>
      </w:r>
      <w:r w:rsidR="00C51FE1">
        <w:rPr>
          <w:rFonts w:ascii="David" w:hAnsi="David" w:cs="David" w:hint="cs"/>
          <w:sz w:val="24"/>
          <w:szCs w:val="24"/>
          <w:rtl/>
        </w:rPr>
        <w:t xml:space="preserve">על ידי </w:t>
      </w:r>
      <w:r w:rsidR="004F07EF">
        <w:rPr>
          <w:rFonts w:ascii="David" w:hAnsi="David" w:cs="David" w:hint="cs"/>
          <w:sz w:val="24"/>
          <w:szCs w:val="24"/>
          <w:rtl/>
        </w:rPr>
        <w:t xml:space="preserve">העמדתו בעל כורחו בתווך </w:t>
      </w:r>
      <w:r w:rsidR="00E60546">
        <w:rPr>
          <w:rFonts w:ascii="David" w:hAnsi="David" w:cs="David" w:hint="cs"/>
          <w:sz w:val="24"/>
          <w:szCs w:val="24"/>
          <w:rtl/>
        </w:rPr>
        <w:t xml:space="preserve">בין </w:t>
      </w:r>
      <w:r>
        <w:rPr>
          <w:rFonts w:ascii="David" w:hAnsi="David" w:cs="David" w:hint="cs"/>
          <w:sz w:val="24"/>
          <w:szCs w:val="24"/>
          <w:rtl/>
        </w:rPr>
        <w:t>הוריו</w:t>
      </w:r>
      <w:r w:rsidR="00431C16" w:rsidRPr="00B00E54">
        <w:rPr>
          <w:rFonts w:ascii="David" w:hAnsi="David" w:cs="David"/>
          <w:sz w:val="24"/>
          <w:szCs w:val="24"/>
          <w:rtl/>
        </w:rPr>
        <w:t xml:space="preserve">. </w:t>
      </w:r>
    </w:p>
    <w:p w:rsidR="00431C16" w:rsidRPr="00B00E54" w:rsidRDefault="00431C16" w:rsidP="00DA7E66">
      <w:pPr>
        <w:pStyle w:val="ad"/>
        <w:spacing w:after="0" w:line="360" w:lineRule="auto"/>
        <w:ind w:left="283"/>
        <w:jc w:val="both"/>
        <w:rPr>
          <w:rFonts w:ascii="David" w:hAnsi="David" w:cs="David"/>
          <w:sz w:val="24"/>
          <w:szCs w:val="24"/>
        </w:rPr>
      </w:pPr>
    </w:p>
    <w:p w:rsidR="00431C16" w:rsidRPr="00B00E54" w:rsidRDefault="00431C16" w:rsidP="00B620A8">
      <w:pPr>
        <w:pStyle w:val="ad"/>
        <w:numPr>
          <w:ilvl w:val="0"/>
          <w:numId w:val="1"/>
        </w:numPr>
        <w:spacing w:after="0" w:line="360" w:lineRule="auto"/>
        <w:ind w:left="283"/>
        <w:jc w:val="both"/>
        <w:rPr>
          <w:rFonts w:ascii="David" w:hAnsi="David" w:cs="David"/>
          <w:sz w:val="24"/>
          <w:szCs w:val="24"/>
        </w:rPr>
      </w:pPr>
      <w:r w:rsidRPr="00B00E54">
        <w:rPr>
          <w:rFonts w:ascii="David" w:hAnsi="David" w:cs="David"/>
          <w:sz w:val="24"/>
          <w:szCs w:val="24"/>
          <w:rtl/>
        </w:rPr>
        <w:t xml:space="preserve">אין בידי לקבל את טענות האב לעניין האיזון שנדרש בית המשפט לערוך במקרים של חיסיון יחסי, לשם עשיית צדק, והעדר פגיעה באינטרס הציבורי. יוטעם כי לא מצאתי בטענות האב הצדקה לסטות מהחיסיון הקבוע בדין. </w:t>
      </w:r>
      <w:r w:rsidRPr="00B00E54">
        <w:rPr>
          <w:rFonts w:ascii="David" w:hAnsi="David" w:cs="David"/>
          <w:b/>
          <w:bCs/>
          <w:sz w:val="24"/>
          <w:szCs w:val="24"/>
          <w:u w:val="single"/>
          <w:rtl/>
        </w:rPr>
        <w:t>סבורני כי במקרה דנן יש להעמיד במוקד הבירור את טובת הקטין</w:t>
      </w:r>
      <w:r w:rsidR="00B620A8">
        <w:rPr>
          <w:rFonts w:ascii="David" w:hAnsi="David" w:cs="David" w:hint="cs"/>
          <w:b/>
          <w:bCs/>
          <w:sz w:val="24"/>
          <w:szCs w:val="24"/>
          <w:u w:val="single"/>
          <w:rtl/>
        </w:rPr>
        <w:t xml:space="preserve"> </w:t>
      </w:r>
      <w:r w:rsidR="00B620A8">
        <w:rPr>
          <w:rFonts w:ascii="David" w:hAnsi="David" w:cs="David" w:hint="cs"/>
          <w:b/>
          <w:bCs/>
          <w:sz w:val="24"/>
          <w:szCs w:val="24"/>
          <w:u w:val="single"/>
        </w:rPr>
        <w:t>XXX</w:t>
      </w:r>
      <w:r w:rsidRPr="00B00E54">
        <w:rPr>
          <w:rFonts w:ascii="David" w:hAnsi="David" w:cs="David"/>
          <w:b/>
          <w:bCs/>
          <w:sz w:val="24"/>
          <w:szCs w:val="24"/>
          <w:u w:val="single"/>
          <w:rtl/>
        </w:rPr>
        <w:t>, והיא הגוברת על כל אינטרס אחר.</w:t>
      </w:r>
    </w:p>
    <w:p w:rsidR="00431C16" w:rsidRPr="00B00E54" w:rsidRDefault="00431C16" w:rsidP="00DA7E66">
      <w:pPr>
        <w:pStyle w:val="ad"/>
        <w:spacing w:after="0" w:line="360" w:lineRule="auto"/>
        <w:ind w:left="368"/>
        <w:jc w:val="both"/>
        <w:rPr>
          <w:rFonts w:ascii="David" w:hAnsi="David" w:cs="David"/>
          <w:sz w:val="24"/>
          <w:szCs w:val="24"/>
        </w:rPr>
      </w:pPr>
    </w:p>
    <w:p w:rsidR="00431C16" w:rsidRPr="00B00E54" w:rsidRDefault="00431C16" w:rsidP="00B00E54">
      <w:pPr>
        <w:pStyle w:val="ad"/>
        <w:numPr>
          <w:ilvl w:val="0"/>
          <w:numId w:val="1"/>
        </w:numPr>
        <w:spacing w:after="0" w:line="360" w:lineRule="auto"/>
        <w:ind w:left="283"/>
        <w:jc w:val="both"/>
        <w:rPr>
          <w:rFonts w:ascii="David" w:hAnsi="David" w:cs="David"/>
          <w:sz w:val="24"/>
          <w:szCs w:val="24"/>
        </w:rPr>
      </w:pPr>
      <w:r w:rsidRPr="00B00E54">
        <w:rPr>
          <w:rFonts w:ascii="David" w:hAnsi="David" w:cs="David"/>
          <w:sz w:val="24"/>
          <w:szCs w:val="24"/>
          <w:rtl/>
        </w:rPr>
        <w:t xml:space="preserve">כידוע, נפסק כי </w:t>
      </w:r>
      <w:r w:rsidRPr="00B00E54">
        <w:rPr>
          <w:rFonts w:ascii="David" w:hAnsi="David" w:cs="David"/>
          <w:b/>
          <w:bCs/>
          <w:sz w:val="24"/>
          <w:szCs w:val="24"/>
          <w:rtl/>
        </w:rPr>
        <w:t>"...</w:t>
      </w:r>
      <w:r w:rsidRPr="00A7328C">
        <w:rPr>
          <w:rFonts w:ascii="David" w:hAnsi="David" w:cs="David"/>
          <w:b/>
          <w:bCs/>
          <w:sz w:val="24"/>
          <w:szCs w:val="24"/>
          <w:u w:val="single"/>
          <w:rtl/>
        </w:rPr>
        <w:t>החתירה לתור אחר טובתו של קטין, היא לב ההליך ועליה אמון בית המשפט</w:t>
      </w:r>
      <w:r w:rsidRPr="00B00E54">
        <w:rPr>
          <w:rFonts w:ascii="David" w:hAnsi="David" w:cs="David"/>
          <w:b/>
          <w:bCs/>
          <w:sz w:val="24"/>
          <w:szCs w:val="24"/>
          <w:rtl/>
        </w:rPr>
        <w:t xml:space="preserve">. אזכיר, כי לא בכדי העניק המחוקק הנחיות יסוד שונות מן הרגיל לבית משפט לענייני משפחה בכל הנוגע לדיני הראיות וסדרי הדין. </w:t>
      </w:r>
      <w:r w:rsidRPr="00A7328C">
        <w:rPr>
          <w:rFonts w:ascii="David" w:hAnsi="David" w:cs="David"/>
          <w:b/>
          <w:bCs/>
          <w:sz w:val="24"/>
          <w:szCs w:val="24"/>
          <w:u w:val="single"/>
          <w:rtl/>
        </w:rPr>
        <w:t>דברים אלה מתעצמים לאור מטרת העל</w:t>
      </w:r>
      <w:r w:rsidRPr="00B00E54">
        <w:rPr>
          <w:rFonts w:ascii="David" w:hAnsi="David" w:cs="David"/>
          <w:b/>
          <w:bCs/>
          <w:sz w:val="24"/>
          <w:szCs w:val="24"/>
          <w:rtl/>
        </w:rPr>
        <w:t xml:space="preserve"> השורה במקרה דנן, מטרה הגוברת על סדר הדין הפרוצדורלי ודיני הראיות הקבועים, </w:t>
      </w:r>
      <w:r w:rsidRPr="00A7328C">
        <w:rPr>
          <w:rFonts w:ascii="David" w:hAnsi="David" w:cs="David"/>
          <w:b/>
          <w:bCs/>
          <w:sz w:val="24"/>
          <w:szCs w:val="24"/>
          <w:u w:val="single"/>
          <w:rtl/>
        </w:rPr>
        <w:t>והיא מטרת "טובת הילד", המהווה "מגדלור" לכל צעד ושעל של בית המשפט</w:t>
      </w:r>
      <w:r w:rsidRPr="00B00E54">
        <w:rPr>
          <w:rFonts w:ascii="David" w:hAnsi="David" w:cs="David"/>
          <w:b/>
          <w:bCs/>
          <w:sz w:val="24"/>
          <w:szCs w:val="24"/>
          <w:rtl/>
        </w:rPr>
        <w:t xml:space="preserve">" </w:t>
      </w:r>
      <w:r w:rsidRPr="00B00E54">
        <w:rPr>
          <w:rFonts w:ascii="David" w:hAnsi="David" w:cs="David"/>
          <w:sz w:val="24"/>
          <w:szCs w:val="24"/>
          <w:rtl/>
        </w:rPr>
        <w:t xml:space="preserve">(ראו: </w:t>
      </w:r>
      <w:r w:rsidRPr="00B00E54">
        <w:rPr>
          <w:rFonts w:ascii="David" w:eastAsia="Calibri" w:hAnsi="David" w:cs="David"/>
          <w:noProof/>
          <w:sz w:val="24"/>
          <w:szCs w:val="24"/>
          <w:rtl/>
        </w:rPr>
        <w:t>רמ"ש (חי') 47810-06-21 י.ח. נ' א.א</w:t>
      </w:r>
      <w:r w:rsidRPr="00B00E54">
        <w:rPr>
          <w:rFonts w:ascii="David" w:hAnsi="David" w:cs="David"/>
          <w:sz w:val="24"/>
          <w:szCs w:val="24"/>
          <w:rtl/>
        </w:rPr>
        <w:t xml:space="preserve"> [פורסם בנבו] (12.7.21) בפסקה 18 לפסק דינה של כב' השופטת אספרנצה אלון).</w:t>
      </w:r>
    </w:p>
    <w:p w:rsidR="00431C16" w:rsidRPr="00DA7E66" w:rsidRDefault="00431C16" w:rsidP="00DA7E66">
      <w:pPr>
        <w:pStyle w:val="ad"/>
        <w:spacing w:after="0" w:line="360" w:lineRule="auto"/>
        <w:jc w:val="both"/>
        <w:rPr>
          <w:rFonts w:ascii="David" w:hAnsi="David" w:cs="David"/>
          <w:b/>
          <w:bCs/>
          <w:sz w:val="24"/>
          <w:szCs w:val="24"/>
          <w:u w:val="single"/>
        </w:rPr>
      </w:pPr>
    </w:p>
    <w:p w:rsidR="00431C16" w:rsidRDefault="00431C16" w:rsidP="00B620A8">
      <w:pPr>
        <w:pStyle w:val="ad"/>
        <w:numPr>
          <w:ilvl w:val="0"/>
          <w:numId w:val="1"/>
        </w:numPr>
        <w:spacing w:after="0" w:line="360" w:lineRule="auto"/>
        <w:ind w:left="283"/>
        <w:jc w:val="both"/>
        <w:rPr>
          <w:rFonts w:ascii="David" w:hAnsi="David" w:cs="David"/>
          <w:sz w:val="24"/>
          <w:szCs w:val="24"/>
        </w:rPr>
      </w:pPr>
      <w:r w:rsidRPr="00DA7E66">
        <w:rPr>
          <w:rFonts w:ascii="David" w:hAnsi="David" w:cs="David"/>
          <w:b/>
          <w:bCs/>
          <w:sz w:val="24"/>
          <w:szCs w:val="24"/>
          <w:u w:val="single"/>
          <w:rtl/>
        </w:rPr>
        <w:lastRenderedPageBreak/>
        <w:t>בענ</w:t>
      </w:r>
      <w:r w:rsidR="00B620A8">
        <w:rPr>
          <w:rFonts w:ascii="David" w:hAnsi="David" w:cs="David"/>
          <w:b/>
          <w:bCs/>
          <w:sz w:val="24"/>
          <w:szCs w:val="24"/>
          <w:u w:val="single"/>
          <w:rtl/>
        </w:rPr>
        <w:t xml:space="preserve">ייננו, אני סבורה כי טובת הקטין </w:t>
      </w:r>
      <w:r w:rsidR="00B620A8">
        <w:rPr>
          <w:rFonts w:ascii="David" w:hAnsi="David" w:cs="David" w:hint="cs"/>
          <w:b/>
          <w:bCs/>
          <w:sz w:val="24"/>
          <w:szCs w:val="24"/>
          <w:u w:val="single"/>
        </w:rPr>
        <w:t>XXX</w:t>
      </w:r>
      <w:r w:rsidRPr="00DA7E66">
        <w:rPr>
          <w:rFonts w:ascii="David" w:hAnsi="David" w:cs="David"/>
          <w:b/>
          <w:bCs/>
          <w:sz w:val="24"/>
          <w:szCs w:val="24"/>
          <w:u w:val="single"/>
          <w:rtl/>
        </w:rPr>
        <w:t xml:space="preserve"> היא כי ההליכים הנוגעים לו בבית המשפט המתנהלים בין הוריו במשך שנים (מאז היה תינוק בן מספר חודשים) יגיעו לסיומם. הקטין משווע לשקט</w:t>
      </w:r>
      <w:r w:rsidR="00C51FE1">
        <w:rPr>
          <w:rFonts w:ascii="David" w:hAnsi="David" w:cs="David" w:hint="cs"/>
          <w:b/>
          <w:bCs/>
          <w:sz w:val="24"/>
          <w:szCs w:val="24"/>
          <w:u w:val="single"/>
          <w:rtl/>
        </w:rPr>
        <w:t>, לרגיעה ושלוות נפש, כמו גם</w:t>
      </w:r>
      <w:r w:rsidRPr="00DA7E66">
        <w:rPr>
          <w:rFonts w:ascii="David" w:hAnsi="David" w:cs="David"/>
          <w:b/>
          <w:bCs/>
          <w:sz w:val="24"/>
          <w:szCs w:val="24"/>
          <w:u w:val="single"/>
          <w:rtl/>
        </w:rPr>
        <w:t xml:space="preserve"> לסופיות הדיון בעניינו, לאחר 16 שנים. </w:t>
      </w:r>
    </w:p>
    <w:p w:rsidR="00C51FE1" w:rsidRPr="00C51FE1" w:rsidRDefault="00C51FE1" w:rsidP="00C51FE1">
      <w:pPr>
        <w:pStyle w:val="ad"/>
        <w:rPr>
          <w:rFonts w:ascii="David" w:hAnsi="David" w:cs="David"/>
          <w:sz w:val="24"/>
          <w:szCs w:val="24"/>
          <w:rtl/>
        </w:rPr>
      </w:pPr>
    </w:p>
    <w:p w:rsidR="00431C16" w:rsidRPr="00DA7E66" w:rsidRDefault="00431C16" w:rsidP="00B620A8">
      <w:pPr>
        <w:pStyle w:val="ad"/>
        <w:numPr>
          <w:ilvl w:val="0"/>
          <w:numId w:val="1"/>
        </w:numPr>
        <w:spacing w:after="0" w:line="360" w:lineRule="auto"/>
        <w:ind w:left="283"/>
        <w:jc w:val="both"/>
        <w:rPr>
          <w:rFonts w:ascii="David" w:hAnsi="David" w:cs="David"/>
          <w:sz w:val="24"/>
          <w:szCs w:val="24"/>
          <w:rtl/>
        </w:rPr>
      </w:pPr>
      <w:r w:rsidRPr="00DA7E66">
        <w:rPr>
          <w:rFonts w:ascii="David" w:hAnsi="David" w:cs="David"/>
          <w:sz w:val="24"/>
          <w:szCs w:val="24"/>
          <w:rtl/>
        </w:rPr>
        <w:t xml:space="preserve">בבחינת למעלה מן הצורך, ייאמר כי </w:t>
      </w:r>
      <w:r w:rsidR="00B620A8">
        <w:rPr>
          <w:rFonts w:ascii="David" w:hAnsi="David" w:cs="David" w:hint="cs"/>
          <w:sz w:val="24"/>
          <w:szCs w:val="24"/>
          <w:rtl/>
        </w:rPr>
        <w:t>הקטין</w:t>
      </w:r>
      <w:r w:rsidRPr="00DA7E66">
        <w:rPr>
          <w:rFonts w:ascii="David" w:hAnsi="David" w:cs="David"/>
          <w:sz w:val="24"/>
          <w:szCs w:val="24"/>
          <w:rtl/>
        </w:rPr>
        <w:t xml:space="preserve"> לא הביע הסכמתו לגילוי הדברים שנאמרו במהלך המפגשים בזמן אמת. אי לכך, דבריו לא פורטו במסגרת פסקי הדין שניתנו (</w:t>
      </w:r>
      <w:r w:rsidR="00A7328C">
        <w:rPr>
          <w:rFonts w:ascii="David" w:hAnsi="David" w:cs="David" w:hint="cs"/>
          <w:sz w:val="24"/>
          <w:szCs w:val="24"/>
          <w:rtl/>
        </w:rPr>
        <w:t xml:space="preserve">לא במסגרת פסק הדין </w:t>
      </w:r>
      <w:r w:rsidR="00A7328C">
        <w:rPr>
          <w:rFonts w:ascii="David" w:hAnsi="David" w:cs="David"/>
          <w:sz w:val="24"/>
          <w:szCs w:val="24"/>
          <w:rtl/>
        </w:rPr>
        <w:t>מיום 4.9.20 בתביעת המזונות</w:t>
      </w:r>
      <w:r w:rsidR="00A7328C">
        <w:rPr>
          <w:rFonts w:ascii="David" w:hAnsi="David" w:cs="David" w:hint="cs"/>
          <w:sz w:val="24"/>
          <w:szCs w:val="24"/>
          <w:rtl/>
        </w:rPr>
        <w:t xml:space="preserve">, ולא במסגרת פסק הדין </w:t>
      </w:r>
      <w:r w:rsidRPr="00DA7E66">
        <w:rPr>
          <w:rFonts w:ascii="David" w:hAnsi="David" w:cs="David"/>
          <w:sz w:val="24"/>
          <w:szCs w:val="24"/>
          <w:rtl/>
        </w:rPr>
        <w:t xml:space="preserve">מיום 10.2.22 בתובענות בעניינו של הקטין) </w:t>
      </w:r>
      <w:r w:rsidR="00A7328C">
        <w:rPr>
          <w:rFonts w:ascii="David" w:hAnsi="David" w:cs="David" w:hint="cs"/>
          <w:sz w:val="24"/>
          <w:szCs w:val="24"/>
          <w:rtl/>
        </w:rPr>
        <w:t xml:space="preserve">זאת, </w:t>
      </w:r>
      <w:r w:rsidRPr="00DA7E66">
        <w:rPr>
          <w:rFonts w:ascii="David" w:hAnsi="David" w:cs="David"/>
          <w:sz w:val="24"/>
          <w:szCs w:val="24"/>
          <w:rtl/>
        </w:rPr>
        <w:t>כמתחייב מתקנה 55 לתקנות.</w:t>
      </w:r>
    </w:p>
    <w:p w:rsidR="00431C16" w:rsidRPr="00DA7E66" w:rsidRDefault="00431C16" w:rsidP="00DA7E66">
      <w:pPr>
        <w:pStyle w:val="ad"/>
        <w:spacing w:after="0" w:line="360" w:lineRule="auto"/>
        <w:ind w:left="283"/>
        <w:jc w:val="both"/>
        <w:rPr>
          <w:rFonts w:ascii="David" w:hAnsi="David" w:cs="David"/>
          <w:sz w:val="24"/>
          <w:szCs w:val="24"/>
        </w:rPr>
      </w:pPr>
    </w:p>
    <w:p w:rsidR="00431C16" w:rsidRPr="00B00E54" w:rsidRDefault="00431C16" w:rsidP="00DA7E66">
      <w:pPr>
        <w:pStyle w:val="ad"/>
        <w:numPr>
          <w:ilvl w:val="0"/>
          <w:numId w:val="1"/>
        </w:numPr>
        <w:spacing w:after="0" w:line="360" w:lineRule="auto"/>
        <w:ind w:left="283"/>
        <w:jc w:val="both"/>
        <w:rPr>
          <w:rFonts w:ascii="David" w:hAnsi="David" w:cs="David"/>
          <w:sz w:val="24"/>
          <w:szCs w:val="24"/>
        </w:rPr>
      </w:pPr>
      <w:r w:rsidRPr="00DA7E66">
        <w:rPr>
          <w:rFonts w:ascii="David" w:hAnsi="David" w:cs="David"/>
          <w:sz w:val="24"/>
          <w:szCs w:val="24"/>
          <w:rtl/>
        </w:rPr>
        <w:t xml:space="preserve">זאת ועוד, מקבלת אני את טענות ב"כ האם לפיהן המועד המתאים להעלאת טענת הסרת החיסיון הינה במסגרת ההליך הרלבנטי, ולא </w:t>
      </w:r>
      <w:r w:rsidRPr="00B00E54">
        <w:rPr>
          <w:rFonts w:ascii="David" w:hAnsi="David" w:cs="David"/>
          <w:sz w:val="24"/>
          <w:szCs w:val="24"/>
          <w:rtl/>
        </w:rPr>
        <w:t xml:space="preserve">לאחר סיומו (בפסק דין חלוט).  </w:t>
      </w:r>
    </w:p>
    <w:p w:rsidR="00431C16" w:rsidRPr="00B00E54" w:rsidRDefault="00431C16" w:rsidP="00DA7E66">
      <w:pPr>
        <w:pStyle w:val="ad"/>
        <w:spacing w:after="0" w:line="360" w:lineRule="auto"/>
        <w:ind w:left="283"/>
        <w:jc w:val="both"/>
        <w:rPr>
          <w:rFonts w:ascii="David" w:hAnsi="David" w:cs="David"/>
          <w:sz w:val="24"/>
          <w:szCs w:val="24"/>
        </w:rPr>
      </w:pPr>
    </w:p>
    <w:p w:rsidR="00431C16" w:rsidRPr="00B00E54" w:rsidRDefault="00431C16" w:rsidP="00B00E54">
      <w:pPr>
        <w:pStyle w:val="ad"/>
        <w:numPr>
          <w:ilvl w:val="0"/>
          <w:numId w:val="1"/>
        </w:numPr>
        <w:spacing w:after="0" w:line="360" w:lineRule="auto"/>
        <w:ind w:left="283"/>
        <w:jc w:val="both"/>
        <w:rPr>
          <w:rFonts w:ascii="David" w:hAnsi="David" w:cs="David"/>
          <w:sz w:val="24"/>
          <w:szCs w:val="24"/>
          <w:rtl/>
        </w:rPr>
      </w:pPr>
      <w:r w:rsidRPr="00B00E54">
        <w:rPr>
          <w:rFonts w:ascii="David" w:hAnsi="David" w:cs="David"/>
          <w:sz w:val="24"/>
          <w:szCs w:val="24"/>
          <w:rtl/>
        </w:rPr>
        <w:t>מוצא</w:t>
      </w:r>
      <w:r w:rsidR="002E05A2" w:rsidRPr="00B00E54">
        <w:rPr>
          <w:rFonts w:ascii="David" w:hAnsi="David" w:cs="David"/>
          <w:sz w:val="24"/>
          <w:szCs w:val="24"/>
          <w:rtl/>
        </w:rPr>
        <w:t>ת אני</w:t>
      </w:r>
      <w:r w:rsidRPr="00B00E54">
        <w:rPr>
          <w:rFonts w:ascii="David" w:hAnsi="David" w:cs="David"/>
          <w:sz w:val="24"/>
          <w:szCs w:val="24"/>
          <w:rtl/>
        </w:rPr>
        <w:t xml:space="preserve"> כי תביעה זו הינה המשך של התנהלות האב לאורך ההליכים, התנהלות של האב להעצמת אירוע האלימות הנטען לאורך תקופה ממושכת</w:t>
      </w:r>
      <w:r w:rsidR="00B00E54">
        <w:rPr>
          <w:rFonts w:ascii="David" w:hAnsi="David" w:cs="David" w:hint="cs"/>
          <w:sz w:val="24"/>
          <w:szCs w:val="24"/>
          <w:rtl/>
        </w:rPr>
        <w:t xml:space="preserve"> </w:t>
      </w:r>
      <w:r w:rsidRPr="00B00E54">
        <w:rPr>
          <w:rFonts w:ascii="David" w:hAnsi="David" w:cs="David"/>
          <w:b/>
          <w:bCs/>
          <w:sz w:val="24"/>
          <w:szCs w:val="24"/>
          <w:u w:val="single"/>
          <w:rtl/>
        </w:rPr>
        <w:t>באופן שאינו עולה בקנה אחד עם טובת הקטין</w:t>
      </w:r>
      <w:r w:rsidRPr="00B00E54">
        <w:rPr>
          <w:rFonts w:ascii="David" w:hAnsi="David" w:cs="David"/>
          <w:sz w:val="24"/>
          <w:szCs w:val="24"/>
          <w:rtl/>
        </w:rPr>
        <w:t xml:space="preserve">. ראו לעניין זה האמור בפיסקה 33 לפסק </w:t>
      </w:r>
      <w:r w:rsidR="00BA5B2F" w:rsidRPr="00B00E54">
        <w:rPr>
          <w:rFonts w:ascii="David" w:hAnsi="David" w:cs="David"/>
          <w:sz w:val="24"/>
          <w:szCs w:val="24"/>
          <w:rtl/>
        </w:rPr>
        <w:t>הדין לאחריות הורית</w:t>
      </w:r>
      <w:r w:rsidRPr="00B00E54">
        <w:rPr>
          <w:rFonts w:ascii="David" w:hAnsi="David" w:cs="David"/>
          <w:sz w:val="24"/>
          <w:szCs w:val="24"/>
          <w:rtl/>
        </w:rPr>
        <w:t>:</w:t>
      </w:r>
    </w:p>
    <w:p w:rsidR="00431C16" w:rsidRPr="00DA7E66" w:rsidRDefault="00431C16" w:rsidP="00B620A8">
      <w:pPr>
        <w:pStyle w:val="ad"/>
        <w:spacing w:after="0" w:line="360" w:lineRule="auto"/>
        <w:ind w:left="283"/>
        <w:jc w:val="both"/>
        <w:rPr>
          <w:rFonts w:ascii="David" w:hAnsi="David" w:cs="David"/>
          <w:b/>
          <w:bCs/>
          <w:sz w:val="24"/>
          <w:szCs w:val="24"/>
        </w:rPr>
      </w:pPr>
      <w:r w:rsidRPr="00DA7E66">
        <w:rPr>
          <w:rFonts w:ascii="David" w:hAnsi="David" w:cs="David"/>
          <w:b/>
          <w:bCs/>
          <w:sz w:val="24"/>
          <w:szCs w:val="24"/>
          <w:rtl/>
        </w:rPr>
        <w:t xml:space="preserve">"33. שותפה אני לעמדת עו"ס </w:t>
      </w:r>
      <w:r w:rsidR="00B620A8">
        <w:rPr>
          <w:rFonts w:ascii="David" w:hAnsi="David" w:cs="David" w:hint="cs"/>
          <w:b/>
          <w:bCs/>
          <w:sz w:val="24"/>
          <w:szCs w:val="24"/>
        </w:rPr>
        <w:t>XXX</w:t>
      </w:r>
      <w:r w:rsidRPr="00DA7E66">
        <w:rPr>
          <w:rFonts w:ascii="David" w:hAnsi="David" w:cs="David"/>
          <w:b/>
          <w:bCs/>
          <w:sz w:val="24"/>
          <w:szCs w:val="24"/>
          <w:rtl/>
        </w:rPr>
        <w:t xml:space="preserve">, כפי שהובעה בדיון מיום 31.1.21, לפיה האב העצים את אירוע האלימות הנטען לאורך תקופה ממושכת באופן שאינו עולה בקנה אחד עם טובת </w:t>
      </w:r>
      <w:r w:rsidR="00B620A8">
        <w:rPr>
          <w:rFonts w:ascii="David" w:hAnsi="David" w:cs="David"/>
          <w:b/>
          <w:bCs/>
          <w:sz w:val="24"/>
          <w:szCs w:val="24"/>
          <w:rtl/>
        </w:rPr>
        <w:t xml:space="preserve">הקטין. ראו לעניין זה דברי עו"ס </w:t>
      </w:r>
      <w:r w:rsidR="00B620A8">
        <w:rPr>
          <w:rFonts w:ascii="David" w:hAnsi="David" w:cs="David" w:hint="cs"/>
          <w:b/>
          <w:bCs/>
          <w:sz w:val="24"/>
          <w:szCs w:val="24"/>
        </w:rPr>
        <w:t>XXX</w:t>
      </w:r>
      <w:r w:rsidRPr="00DA7E66">
        <w:rPr>
          <w:rFonts w:ascii="David" w:hAnsi="David" w:cs="David"/>
          <w:b/>
          <w:bCs/>
          <w:sz w:val="24"/>
          <w:szCs w:val="24"/>
          <w:rtl/>
        </w:rPr>
        <w:t xml:space="preserve"> בעמ' 16 בשורות 27-28 ובעמ' 17 בשורות 1-13):</w:t>
      </w:r>
    </w:p>
    <w:p w:rsidR="00431C16" w:rsidRPr="00DA7E66" w:rsidRDefault="00431C16" w:rsidP="00DA7E66">
      <w:pPr>
        <w:spacing w:line="360" w:lineRule="auto"/>
        <w:ind w:left="567" w:hanging="284"/>
        <w:jc w:val="both"/>
        <w:rPr>
          <w:rFonts w:ascii="David" w:hAnsi="David"/>
          <w:b/>
          <w:bCs/>
          <w:rtl/>
        </w:rPr>
      </w:pPr>
      <w:r w:rsidRPr="00DA7E66">
        <w:rPr>
          <w:rFonts w:ascii="David" w:hAnsi="David"/>
          <w:b/>
          <w:bCs/>
          <w:rtl/>
        </w:rPr>
        <w:t>"ש.</w:t>
      </w:r>
      <w:r w:rsidRPr="00DA7E66">
        <w:rPr>
          <w:rFonts w:ascii="David" w:hAnsi="David"/>
          <w:b/>
          <w:bCs/>
          <w:rtl/>
        </w:rPr>
        <w:tab/>
        <w:t>בפברואר 2017, באותו פרוטוקול את כותבת כדלקמן בעמוד 17 שורות 10-13 ואני מקריא. מה שאת אומרת שאותו הורה שנחשף שהילד שלו הופעלה כלפיו אלימות, הוא צריך להבליג ולהגיד שהכל שטויות ? או לפעול כמו שפעל האבא והתחיל להניע את הגלגלים כדי שהדבר הזה יצא לאור ?</w:t>
      </w:r>
    </w:p>
    <w:p w:rsidR="00431C16" w:rsidRPr="00DA7E66" w:rsidRDefault="00431C16" w:rsidP="00B620A8">
      <w:pPr>
        <w:spacing w:line="360" w:lineRule="auto"/>
        <w:ind w:left="567" w:hanging="284"/>
        <w:jc w:val="both"/>
        <w:rPr>
          <w:rFonts w:ascii="David" w:hAnsi="David"/>
          <w:b/>
          <w:bCs/>
          <w:rtl/>
        </w:rPr>
      </w:pPr>
      <w:r w:rsidRPr="00DA7E66">
        <w:rPr>
          <w:rFonts w:ascii="David" w:hAnsi="David"/>
          <w:b/>
          <w:bCs/>
          <w:rtl/>
        </w:rPr>
        <w:t>ת.</w:t>
      </w:r>
      <w:r w:rsidRPr="00DA7E66">
        <w:rPr>
          <w:rFonts w:ascii="David" w:hAnsi="David"/>
          <w:b/>
          <w:bCs/>
          <w:rtl/>
        </w:rPr>
        <w:tab/>
        <w:t xml:space="preserve">אני אף פעם לא אגיד לאבא להגיד שהכל שטויות ושיבליג על זה. זה לא היה וזה לא יקרה ניסוח שכזה. בהחלט במקרים כאלה אנו מפנים למסגרת טיפולית כדי להיעזר בגורם נוסף ושיסייע למשפחה להתמודד. </w:t>
      </w:r>
      <w:r w:rsidRPr="00DA7E66">
        <w:rPr>
          <w:rFonts w:ascii="David" w:hAnsi="David"/>
          <w:b/>
          <w:bCs/>
          <w:u w:val="single"/>
          <w:rtl/>
        </w:rPr>
        <w:t xml:space="preserve">אם היה אירוע או לא, זה החוויות של הילד והדרך שבה כל אחד מההורים פועל. לפעמים הורה נותן לאירוע כז או אחר נפח מאוד גדול שמכוון את ההתנהלות שלו לאורך זמן. אני לא יודעת אם היה או לא אירוע. אני חושבת שלאורך זמן הם היו ביחידת הסיוע בטיפול כדי לסייע להם להתמודד עם האירוע ולהתקדם הלאה כי כל הגורמים חשבו שיש מקום לחדש את הקשר בין </w:t>
      </w:r>
      <w:r w:rsidR="00B620A8">
        <w:rPr>
          <w:rFonts w:ascii="David" w:hAnsi="David" w:hint="cs"/>
          <w:b/>
          <w:bCs/>
          <w:u w:val="single"/>
          <w:rtl/>
        </w:rPr>
        <w:t>הקטין</w:t>
      </w:r>
      <w:r w:rsidRPr="00DA7E66">
        <w:rPr>
          <w:rFonts w:ascii="David" w:hAnsi="David"/>
          <w:b/>
          <w:bCs/>
          <w:u w:val="single"/>
          <w:rtl/>
        </w:rPr>
        <w:t xml:space="preserve"> לאמו. הפנינו להערכה פסיכודיאנגוסטית במימון שירותי הרווחה על מנת לעשות הערכה על מצב הילד התנהלות ההורים וגם שם נתנו המלצות להמשך טיפול ואחת ההמלצות הייתה לחזור לאותם זמני שהות שהיו טרם האירוע. גם כשהם הגיעו לתחנה ב</w:t>
      </w:r>
      <w:r w:rsidR="00B620A8">
        <w:rPr>
          <w:rFonts w:ascii="David" w:hAnsi="David" w:hint="cs"/>
          <w:b/>
          <w:bCs/>
          <w:u w:val="single"/>
        </w:rPr>
        <w:t>XXX</w:t>
      </w:r>
      <w:r w:rsidRPr="00DA7E66">
        <w:rPr>
          <w:rFonts w:ascii="David" w:hAnsi="David"/>
          <w:b/>
          <w:bCs/>
          <w:u w:val="single"/>
          <w:rtl/>
        </w:rPr>
        <w:t xml:space="preserve"> וגם בתחנה ב</w:t>
      </w:r>
      <w:r w:rsidR="00B620A8">
        <w:rPr>
          <w:rFonts w:ascii="David" w:hAnsi="David" w:hint="cs"/>
          <w:b/>
          <w:bCs/>
          <w:u w:val="single"/>
        </w:rPr>
        <w:t>XXX</w:t>
      </w:r>
      <w:r w:rsidRPr="00DA7E66">
        <w:rPr>
          <w:rFonts w:ascii="David" w:hAnsi="David"/>
          <w:b/>
          <w:bCs/>
          <w:u w:val="single"/>
          <w:rtl/>
        </w:rPr>
        <w:t xml:space="preserve"> אף אחד מהגורמים לא אמר להפסיק את המפגשים בין הילד לאמו</w:t>
      </w:r>
      <w:r w:rsidRPr="00DA7E66">
        <w:rPr>
          <w:rFonts w:ascii="David" w:hAnsi="David"/>
          <w:b/>
          <w:bCs/>
          <w:rtl/>
        </w:rPr>
        <w:t xml:space="preserve">". </w:t>
      </w:r>
    </w:p>
    <w:p w:rsidR="00431C16" w:rsidRPr="00DA7E66" w:rsidRDefault="00431C16" w:rsidP="00DA7E66">
      <w:pPr>
        <w:spacing w:line="360" w:lineRule="auto"/>
        <w:ind w:left="283"/>
        <w:jc w:val="both"/>
        <w:rPr>
          <w:rFonts w:ascii="David" w:hAnsi="David"/>
          <w:b/>
          <w:bCs/>
          <w:rtl/>
        </w:rPr>
      </w:pPr>
      <w:r w:rsidRPr="00DA7E66">
        <w:rPr>
          <w:rFonts w:ascii="David" w:hAnsi="David"/>
          <w:b/>
          <w:bCs/>
          <w:rtl/>
        </w:rPr>
        <w:t>ובהמשך דבריה (בעמ' 18 בשורות 7-17):</w:t>
      </w:r>
    </w:p>
    <w:p w:rsidR="00431C16" w:rsidRPr="00DA7E66" w:rsidRDefault="00431C16" w:rsidP="00DA7E66">
      <w:pPr>
        <w:spacing w:line="360" w:lineRule="auto"/>
        <w:ind w:left="567" w:hanging="284"/>
        <w:jc w:val="both"/>
        <w:rPr>
          <w:rFonts w:ascii="David" w:hAnsi="David"/>
          <w:b/>
          <w:bCs/>
          <w:rtl/>
        </w:rPr>
      </w:pPr>
      <w:r w:rsidRPr="00DA7E66">
        <w:rPr>
          <w:rFonts w:ascii="David" w:hAnsi="David"/>
          <w:b/>
          <w:bCs/>
          <w:rtl/>
        </w:rPr>
        <w:t>"ש.</w:t>
      </w:r>
      <w:r w:rsidRPr="00DA7E66">
        <w:rPr>
          <w:rFonts w:ascii="David" w:hAnsi="David"/>
          <w:b/>
          <w:bCs/>
          <w:rtl/>
        </w:rPr>
        <w:tab/>
        <w:t xml:space="preserve">דיברת איתנו כאן על אירוע והעצמה של האירוע, מה דעתך בנוגע להעצמה הספציפית שאנו עוסקים בה בנוגע לאירוע שנטען על ידי האב ? אותו אירוע אלימות מאוגוסט 2015. אנחנו </w:t>
      </w:r>
      <w:r w:rsidRPr="00DA7E66">
        <w:rPr>
          <w:rFonts w:ascii="David" w:hAnsi="David"/>
          <w:b/>
          <w:bCs/>
          <w:rtl/>
        </w:rPr>
        <w:lastRenderedPageBreak/>
        <w:t>מאוגוסט 2015, מדברים בכל תסקיר ובכל מכתב של האב ובכל דיון מדברים על האירוע הזה בתור המרכז. האם נראה לך שמישהו מנסה להעצים דברים ולשים אותם באופן לא פורפוציונלי ?</w:t>
      </w:r>
    </w:p>
    <w:p w:rsidR="00431C16" w:rsidRPr="00DA7E66" w:rsidRDefault="00431C16" w:rsidP="00DA7E66">
      <w:pPr>
        <w:spacing w:line="360" w:lineRule="auto"/>
        <w:ind w:left="567" w:hanging="284"/>
        <w:jc w:val="both"/>
        <w:rPr>
          <w:rFonts w:ascii="David" w:hAnsi="David"/>
          <w:b/>
          <w:bCs/>
          <w:rtl/>
        </w:rPr>
      </w:pPr>
      <w:r w:rsidRPr="00DA7E66">
        <w:rPr>
          <w:rFonts w:ascii="David" w:hAnsi="David"/>
          <w:b/>
          <w:bCs/>
          <w:rtl/>
        </w:rPr>
        <w:t>ת.</w:t>
      </w:r>
      <w:r w:rsidRPr="00DA7E66">
        <w:rPr>
          <w:rFonts w:ascii="David" w:hAnsi="David"/>
          <w:b/>
          <w:bCs/>
          <w:rtl/>
        </w:rPr>
        <w:tab/>
        <w:t xml:space="preserve">למיטב הבנתי המקצועית אני יכולה לדבר על מה שהיה בזמנו. </w:t>
      </w:r>
      <w:r w:rsidRPr="00DA7E66">
        <w:rPr>
          <w:rFonts w:ascii="David" w:hAnsi="David"/>
          <w:b/>
          <w:bCs/>
          <w:u w:val="single"/>
          <w:rtl/>
        </w:rPr>
        <w:t>כבר ציינתי וחבל שהדברים נמשכים</w:t>
      </w:r>
      <w:r w:rsidRPr="00DA7E66">
        <w:rPr>
          <w:rFonts w:ascii="David" w:hAnsi="David"/>
          <w:b/>
          <w:bCs/>
          <w:rtl/>
        </w:rPr>
        <w:t xml:space="preserve"> ועוד לא הגיע מצב של זמני שהות סבירים מורחבים יותר. </w:t>
      </w:r>
    </w:p>
    <w:p w:rsidR="00431C16" w:rsidRPr="00DA7E66" w:rsidRDefault="00431C16" w:rsidP="00DA7E66">
      <w:pPr>
        <w:spacing w:line="360" w:lineRule="auto"/>
        <w:ind w:left="567" w:hanging="284"/>
        <w:jc w:val="both"/>
        <w:rPr>
          <w:rFonts w:ascii="David" w:hAnsi="David"/>
          <w:b/>
          <w:bCs/>
          <w:rtl/>
        </w:rPr>
      </w:pPr>
      <w:r w:rsidRPr="00DA7E66">
        <w:rPr>
          <w:rFonts w:ascii="David" w:hAnsi="David"/>
          <w:b/>
          <w:bCs/>
          <w:rtl/>
        </w:rPr>
        <w:t>ש.</w:t>
      </w:r>
      <w:r w:rsidRPr="00DA7E66">
        <w:rPr>
          <w:rFonts w:ascii="David" w:hAnsi="David"/>
          <w:b/>
          <w:bCs/>
          <w:rtl/>
        </w:rPr>
        <w:tab/>
        <w:t>האם לאור כל מה שאת רואה, כל המכתבים, כל התסקירים והדיונים אנו עוסקים באירוע אחד נטען ומנפחים אותו ?</w:t>
      </w:r>
    </w:p>
    <w:p w:rsidR="00431C16" w:rsidRPr="00DA7E66" w:rsidRDefault="00431C16" w:rsidP="00B620A8">
      <w:pPr>
        <w:spacing w:line="360" w:lineRule="auto"/>
        <w:ind w:left="567" w:hanging="284"/>
        <w:jc w:val="both"/>
        <w:rPr>
          <w:rFonts w:ascii="David" w:hAnsi="David"/>
          <w:b/>
          <w:bCs/>
        </w:rPr>
      </w:pPr>
      <w:r w:rsidRPr="00DA7E66">
        <w:rPr>
          <w:rFonts w:ascii="David" w:hAnsi="David"/>
          <w:b/>
          <w:bCs/>
          <w:rtl/>
        </w:rPr>
        <w:t>ת.</w:t>
      </w:r>
      <w:r w:rsidRPr="00DA7E66">
        <w:rPr>
          <w:rFonts w:ascii="David" w:hAnsi="David"/>
          <w:b/>
          <w:bCs/>
          <w:rtl/>
        </w:rPr>
        <w:tab/>
      </w:r>
      <w:r w:rsidRPr="00DA7E66">
        <w:rPr>
          <w:rFonts w:ascii="David" w:hAnsi="David"/>
          <w:b/>
          <w:bCs/>
          <w:u w:val="single"/>
          <w:rtl/>
        </w:rPr>
        <w:t>להעצים את האירוע הזה ולהגיע איתו עד היום בעיניי זה בהחלט מדאיג.</w:t>
      </w:r>
      <w:r w:rsidRPr="00DA7E66">
        <w:rPr>
          <w:rFonts w:ascii="David" w:hAnsi="David"/>
          <w:b/>
          <w:bCs/>
          <w:rtl/>
        </w:rPr>
        <w:t xml:space="preserve"> למרות שקרו מאז דברים, הייתה התקדמות ויש שיתוף פעולה בטיפול שהיטיב ל</w:t>
      </w:r>
      <w:r w:rsidR="00B620A8">
        <w:rPr>
          <w:rFonts w:ascii="David" w:hAnsi="David" w:hint="cs"/>
          <w:b/>
          <w:bCs/>
          <w:rtl/>
        </w:rPr>
        <w:t>קטין</w:t>
      </w:r>
      <w:r w:rsidRPr="00DA7E66">
        <w:rPr>
          <w:rFonts w:ascii="David" w:hAnsi="David"/>
          <w:b/>
          <w:bCs/>
          <w:rtl/>
        </w:rPr>
        <w:t xml:space="preserve"> גם לזה צריך לתת מקום". </w:t>
      </w:r>
    </w:p>
    <w:p w:rsidR="00431C16" w:rsidRPr="00DA7E66" w:rsidRDefault="00431C16" w:rsidP="00DA7E66">
      <w:pPr>
        <w:pStyle w:val="ad"/>
        <w:spacing w:after="0" w:line="360" w:lineRule="auto"/>
        <w:ind w:left="567"/>
        <w:jc w:val="both"/>
        <w:rPr>
          <w:rFonts w:ascii="David" w:hAnsi="David" w:cs="David"/>
          <w:b/>
          <w:bCs/>
          <w:sz w:val="24"/>
          <w:szCs w:val="24"/>
          <w:rtl/>
        </w:rPr>
      </w:pPr>
      <w:r w:rsidRPr="00DA7E66">
        <w:rPr>
          <w:rFonts w:ascii="David" w:hAnsi="David" w:cs="David"/>
          <w:b/>
          <w:bCs/>
          <w:sz w:val="24"/>
          <w:szCs w:val="24"/>
          <w:rtl/>
        </w:rPr>
        <w:t>וגם (בעמ' 26 בשורות 26-28 ובעמ' 27 בשורות 1-7):</w:t>
      </w:r>
    </w:p>
    <w:p w:rsidR="00431C16" w:rsidRPr="00DA7E66" w:rsidRDefault="00431C16" w:rsidP="00DA7E66">
      <w:pPr>
        <w:spacing w:line="360" w:lineRule="auto"/>
        <w:ind w:left="567" w:hanging="284"/>
        <w:jc w:val="both"/>
        <w:rPr>
          <w:rFonts w:ascii="David" w:hAnsi="David"/>
          <w:b/>
          <w:bCs/>
          <w:rtl/>
        </w:rPr>
      </w:pPr>
      <w:r w:rsidRPr="00DA7E66">
        <w:rPr>
          <w:rFonts w:ascii="David" w:hAnsi="David"/>
          <w:b/>
          <w:bCs/>
          <w:rtl/>
        </w:rPr>
        <w:t>"ש.</w:t>
      </w:r>
      <w:r w:rsidRPr="00DA7E66">
        <w:rPr>
          <w:rFonts w:ascii="David" w:hAnsi="David"/>
          <w:b/>
          <w:bCs/>
          <w:rtl/>
        </w:rPr>
        <w:tab/>
        <w:t>נשאלת לראשנה על ידי חברי האם ההתנהלות שאת רואה זה מעצים את האירוע ואת אמרת שזה מדאיג, ז"א את מסכימה שהיה אירוע ?</w:t>
      </w:r>
    </w:p>
    <w:p w:rsidR="00431C16" w:rsidRPr="00DA7E66" w:rsidRDefault="00431C16" w:rsidP="00DA7E66">
      <w:pPr>
        <w:spacing w:line="360" w:lineRule="auto"/>
        <w:ind w:left="567" w:hanging="284"/>
        <w:jc w:val="both"/>
        <w:rPr>
          <w:rFonts w:ascii="David" w:hAnsi="David"/>
          <w:b/>
          <w:bCs/>
          <w:rtl/>
        </w:rPr>
      </w:pPr>
      <w:r w:rsidRPr="00DA7E66">
        <w:rPr>
          <w:rFonts w:ascii="David" w:hAnsi="David"/>
          <w:b/>
          <w:bCs/>
          <w:rtl/>
        </w:rPr>
        <w:t>ת.</w:t>
      </w:r>
      <w:r w:rsidRPr="00DA7E66">
        <w:rPr>
          <w:rFonts w:ascii="David" w:hAnsi="David"/>
          <w:b/>
          <w:bCs/>
          <w:rtl/>
        </w:rPr>
        <w:tab/>
      </w:r>
      <w:r w:rsidRPr="00DA7E66">
        <w:rPr>
          <w:rFonts w:ascii="David" w:hAnsi="David"/>
          <w:b/>
          <w:bCs/>
          <w:u w:val="single"/>
          <w:rtl/>
        </w:rPr>
        <w:t>אני מדברת על ההעצמה. מדובר על אירוע נטען שהיה באוגוסט 2015 ואנחנו עדיין במצב היום אחרי 5 וחצי שנים , אמנם יש קשר אבל הקשר לא קשר שהוא מורחב יותר. לאורך השנים אני רואה שיש העצמה של האירוע. אני לא יודעת אם הוא היה או לא. יש העצמה של הדברים עד היום. אפילו היום אני מוזמנת על דברים שהיו לפני 5 וחצי שנה. להתעסק בדבר שקרה לפני 5 וחצי שנים כאילו זה קרה היום, זה מדאיג. כבר מזמן היה צריך להסתיים ההתנהלות הזאת ולעבור פזה, ולעלות רמה ולאפשר קשר אחר המשפחה נמצאת בטיפול כל כך הרבה זמן</w:t>
      </w:r>
      <w:r w:rsidRPr="00DA7E66">
        <w:rPr>
          <w:rFonts w:ascii="David" w:hAnsi="David"/>
          <w:b/>
          <w:bCs/>
          <w:rtl/>
        </w:rPr>
        <w:t>. הטיפול הוא גם אבא וגם אמא, כל אחד יש לו תרומה שלו".</w:t>
      </w:r>
    </w:p>
    <w:p w:rsidR="00431C16" w:rsidRPr="00DA7E66" w:rsidRDefault="00431C16" w:rsidP="00B620A8">
      <w:pPr>
        <w:pStyle w:val="ad"/>
        <w:spacing w:after="0" w:line="360" w:lineRule="auto"/>
        <w:ind w:left="283"/>
        <w:jc w:val="both"/>
        <w:rPr>
          <w:rFonts w:ascii="David" w:hAnsi="David" w:cs="David"/>
          <w:b/>
          <w:bCs/>
          <w:sz w:val="24"/>
          <w:szCs w:val="24"/>
          <w:u w:val="single"/>
          <w:rtl/>
        </w:rPr>
      </w:pPr>
      <w:r w:rsidRPr="00DA7E66">
        <w:rPr>
          <w:rFonts w:ascii="David" w:hAnsi="David" w:cs="David"/>
          <w:b/>
          <w:bCs/>
          <w:sz w:val="24"/>
          <w:szCs w:val="24"/>
          <w:u w:val="single"/>
          <w:rtl/>
        </w:rPr>
        <w:t xml:space="preserve">מסכימה אני עם דברי עו"ס </w:t>
      </w:r>
      <w:r w:rsidR="00B620A8">
        <w:rPr>
          <w:rFonts w:ascii="David" w:hAnsi="David" w:cs="David" w:hint="cs"/>
          <w:b/>
          <w:bCs/>
          <w:sz w:val="24"/>
          <w:szCs w:val="24"/>
          <w:u w:val="single"/>
        </w:rPr>
        <w:t>XXX</w:t>
      </w:r>
      <w:r w:rsidRPr="00DA7E66">
        <w:rPr>
          <w:rFonts w:ascii="David" w:hAnsi="David" w:cs="David"/>
          <w:b/>
          <w:bCs/>
          <w:sz w:val="24"/>
          <w:szCs w:val="24"/>
          <w:u w:val="single"/>
          <w:rtl/>
        </w:rPr>
        <w:t xml:space="preserve"> לעניין זה".</w:t>
      </w:r>
    </w:p>
    <w:p w:rsidR="00431C16" w:rsidRPr="00DA7E66" w:rsidRDefault="00431C16" w:rsidP="00DA7E66">
      <w:pPr>
        <w:pStyle w:val="ad"/>
        <w:spacing w:after="0" w:line="360" w:lineRule="auto"/>
        <w:ind w:left="283"/>
        <w:jc w:val="both"/>
        <w:rPr>
          <w:rFonts w:ascii="David" w:hAnsi="David" w:cs="David"/>
          <w:b/>
          <w:bCs/>
          <w:sz w:val="24"/>
          <w:szCs w:val="24"/>
          <w:u w:val="single"/>
          <w:rtl/>
        </w:rPr>
      </w:pPr>
    </w:p>
    <w:p w:rsidR="00431C16" w:rsidRPr="00DA7E66" w:rsidRDefault="00431C16" w:rsidP="00DA7E66">
      <w:pPr>
        <w:pStyle w:val="ad"/>
        <w:numPr>
          <w:ilvl w:val="0"/>
          <w:numId w:val="1"/>
        </w:numPr>
        <w:spacing w:after="0" w:line="360" w:lineRule="auto"/>
        <w:ind w:left="283"/>
        <w:jc w:val="both"/>
        <w:rPr>
          <w:rFonts w:ascii="David" w:hAnsi="David" w:cs="David"/>
          <w:b/>
          <w:bCs/>
          <w:sz w:val="24"/>
          <w:szCs w:val="24"/>
          <w:u w:val="single"/>
          <w:rtl/>
        </w:rPr>
      </w:pPr>
      <w:r w:rsidRPr="00DA7E66">
        <w:rPr>
          <w:rFonts w:ascii="David" w:hAnsi="David" w:cs="David"/>
          <w:b/>
          <w:bCs/>
          <w:sz w:val="24"/>
          <w:szCs w:val="24"/>
          <w:u w:val="single"/>
          <w:rtl/>
        </w:rPr>
        <w:t xml:space="preserve">טוב יעשה האב אם יחדל מהתנהלותו זו אשר אינה עולה בקנה אחד עם טובת הקטין. </w:t>
      </w:r>
    </w:p>
    <w:p w:rsidR="00431C16" w:rsidRPr="00DA7E66" w:rsidRDefault="00431C16" w:rsidP="00DA7E66">
      <w:pPr>
        <w:pStyle w:val="ad"/>
        <w:spacing w:after="0" w:line="360" w:lineRule="auto"/>
        <w:ind w:left="283"/>
        <w:jc w:val="both"/>
        <w:rPr>
          <w:rFonts w:ascii="David" w:hAnsi="David" w:cs="David"/>
          <w:b/>
          <w:bCs/>
          <w:sz w:val="24"/>
          <w:szCs w:val="24"/>
          <w:u w:val="single"/>
        </w:rPr>
      </w:pPr>
    </w:p>
    <w:p w:rsidR="00431C16" w:rsidRPr="00DA7E66" w:rsidRDefault="00431C16" w:rsidP="00DA7E66">
      <w:pPr>
        <w:pStyle w:val="ad"/>
        <w:numPr>
          <w:ilvl w:val="0"/>
          <w:numId w:val="1"/>
        </w:numPr>
        <w:spacing w:after="0" w:line="360" w:lineRule="auto"/>
        <w:ind w:left="283"/>
        <w:jc w:val="both"/>
        <w:rPr>
          <w:rFonts w:ascii="David" w:hAnsi="David" w:cs="David"/>
          <w:sz w:val="24"/>
          <w:szCs w:val="24"/>
        </w:rPr>
      </w:pPr>
      <w:r w:rsidRPr="00DA7E66">
        <w:rPr>
          <w:rFonts w:ascii="David" w:hAnsi="David" w:cs="David"/>
          <w:b/>
          <w:bCs/>
          <w:sz w:val="24"/>
          <w:szCs w:val="24"/>
          <w:u w:val="single"/>
          <w:rtl/>
        </w:rPr>
        <w:t>לעניין הוצאות משפט</w:t>
      </w:r>
      <w:r w:rsidRPr="00DA7E66">
        <w:rPr>
          <w:rFonts w:ascii="David" w:hAnsi="David" w:cs="David"/>
          <w:sz w:val="24"/>
          <w:szCs w:val="24"/>
          <w:rtl/>
        </w:rPr>
        <w:t xml:space="preserve">, נפסק לאחרונה על ידי בית המשפט העליון ברע"א 7703/22 סיון סרדניוף נ' עיריית תל אביב-יפו [פורסם בנבו] (7.12.2022) </w:t>
      </w:r>
      <w:r w:rsidR="002E05A2" w:rsidRPr="00DA7E66">
        <w:rPr>
          <w:rFonts w:ascii="David" w:hAnsi="David" w:cs="David"/>
          <w:sz w:val="24"/>
          <w:szCs w:val="24"/>
          <w:rtl/>
        </w:rPr>
        <w:t>בפיסקה 13 להחלטה</w:t>
      </w:r>
      <w:r w:rsidRPr="00DA7E66">
        <w:rPr>
          <w:rFonts w:ascii="David" w:hAnsi="David" w:cs="David"/>
          <w:sz w:val="24"/>
          <w:szCs w:val="24"/>
          <w:rtl/>
        </w:rPr>
        <w:t xml:space="preserve">: </w:t>
      </w:r>
      <w:r w:rsidRPr="00DA7E66">
        <w:rPr>
          <w:rFonts w:ascii="David" w:hAnsi="David" w:cs="David"/>
          <w:b/>
          <w:bCs/>
          <w:sz w:val="24"/>
          <w:szCs w:val="24"/>
          <w:rtl/>
        </w:rPr>
        <w:t>"כידוע, בבואו לפסוק הוצאות על בית המשפט לאזן בית מגוון שיקולים שונים. תוצאת ההליך היא אכן שיקול חשוב מבין אותם השיקולים, שכן אחת ממטרותיה של פסיקת הוצאות משפט היא מניעת חסרון כיס של הצד שזכה בדין (</w:t>
      </w:r>
      <w:hyperlink r:id="rId12" w:history="1">
        <w:r w:rsidRPr="00DA7E66">
          <w:rPr>
            <w:rStyle w:val="Hyperlink"/>
            <w:rFonts w:ascii="David" w:hAnsi="David" w:cs="David"/>
            <w:b/>
            <w:bCs/>
            <w:color w:val="auto"/>
            <w:sz w:val="24"/>
            <w:szCs w:val="24"/>
            <w:u w:val="none"/>
            <w:rtl/>
          </w:rPr>
          <w:t>רע"א 7650/20</w:t>
        </w:r>
      </w:hyperlink>
      <w:r w:rsidRPr="00DA7E66">
        <w:rPr>
          <w:rFonts w:ascii="David" w:hAnsi="David" w:cs="David"/>
          <w:b/>
          <w:bCs/>
          <w:sz w:val="24"/>
          <w:szCs w:val="24"/>
          <w:rtl/>
        </w:rPr>
        <w:t xml:space="preserve"> </w:t>
      </w:r>
      <w:r w:rsidRPr="00DA7E66">
        <w:rPr>
          <w:rFonts w:ascii="David" w:hAnsi="David" w:cs="David"/>
          <w:b/>
          <w:bCs/>
          <w:sz w:val="24"/>
          <w:szCs w:val="24"/>
        </w:rPr>
        <w:t>Magic Software Enterprises Ltd</w:t>
      </w:r>
      <w:r w:rsidRPr="00DA7E66">
        <w:rPr>
          <w:rFonts w:ascii="David" w:hAnsi="David" w:cs="David"/>
          <w:b/>
          <w:bCs/>
          <w:sz w:val="24"/>
          <w:szCs w:val="24"/>
          <w:rtl/>
        </w:rPr>
        <w:t xml:space="preserve"> נ' פאיירפלאי בע"מ, פסקה 9 [פורסם בנבו] (28.12.2020) (להלן: עניין </w:t>
      </w:r>
      <w:r w:rsidRPr="00DA7E66">
        <w:rPr>
          <w:rFonts w:ascii="David" w:hAnsi="David" w:cs="David"/>
          <w:b/>
          <w:bCs/>
          <w:sz w:val="24"/>
          <w:szCs w:val="24"/>
        </w:rPr>
        <w:t>Magic</w:t>
      </w:r>
      <w:r w:rsidRPr="00DA7E66">
        <w:rPr>
          <w:rFonts w:ascii="David" w:hAnsi="David" w:cs="David"/>
          <w:b/>
          <w:bCs/>
          <w:sz w:val="24"/>
          <w:szCs w:val="24"/>
          <w:rtl/>
        </w:rPr>
        <w:t xml:space="preserve">)). עם זאת, אין המדובר בשיקול יחיד, ולצד שיקול חשוב זה על בית המשפט לשקול שיקולים נוספים, הכוללים, בין היתר, את היקף העבודה שהושקעה על ידי בעלי הדין בהליך והזמן השיפוטי שנדרש לניהולו (שם, בפסקה 10). באיזון בין השיקולים השונים שלעיל, נתון לבית המשפט הפוסק את הוצאות המשפט שיקול דעת רחב, ויפים לעניין זה דברי השופט צ' זילברטל בעניין </w:t>
      </w:r>
      <w:r w:rsidRPr="00DA7E66">
        <w:rPr>
          <w:rFonts w:ascii="David" w:hAnsi="David" w:cs="David"/>
          <w:b/>
          <w:bCs/>
          <w:sz w:val="24"/>
          <w:szCs w:val="24"/>
        </w:rPr>
        <w:t>AIG</w:t>
      </w:r>
      <w:r w:rsidRPr="00DA7E66">
        <w:rPr>
          <w:rFonts w:ascii="David" w:hAnsi="David" w:cs="David"/>
          <w:b/>
          <w:bCs/>
          <w:sz w:val="24"/>
          <w:szCs w:val="24"/>
          <w:rtl/>
        </w:rPr>
        <w:t xml:space="preserve">: "לבית המשפט שיקול דעת אם לחייב בעל דין בתשלום שכר טרחת עורך-דין והוצאות משפט, אם לאו, כאשר הן התקנות והן הפסיקה התוו קווים מנחים באשר למרכיבי שיקול הדעת האמור. [...] אכן, ככלל, ברירת המחדל </w:t>
      </w:r>
      <w:r w:rsidRPr="00DA7E66">
        <w:rPr>
          <w:rFonts w:ascii="David" w:hAnsi="David" w:cs="David"/>
          <w:b/>
          <w:bCs/>
          <w:sz w:val="24"/>
          <w:szCs w:val="24"/>
          <w:rtl/>
        </w:rPr>
        <w:lastRenderedPageBreak/>
        <w:t>היא פסיקת הוצאות משפט ושכר טרחת עורך-דין לטובת הצד הזוכה, כך שלא ייגרם לו חסרון כיס [...]. ואולם, פסיקת הוצאות נתונה לשיקול הדעת ותחושת הצדק של בית המשפט בדונו בתיק, ולא אחת קורה שבתי המשפט, לרבות בית משפט זה, מחליטים שלא לפסוק הוצאות לזוכה, או לסטות מעקרונות היסוד בסוגיה, לא רק בשל נסיבותיהם הספציפיות של התיקים שבפניהם, אלא גם בשל נסיבות הכרוכות במיהות בעלי הדין, ופעמים גם לפנים משורת הדין" (שם, בפסקה 4)".</w:t>
      </w:r>
    </w:p>
    <w:p w:rsidR="00431C16" w:rsidRPr="00DA7E66" w:rsidRDefault="00431C16" w:rsidP="00DA7E66">
      <w:pPr>
        <w:pStyle w:val="Ruller4"/>
        <w:rPr>
          <w:rFonts w:ascii="David" w:hAnsi="David" w:cs="David"/>
          <w:sz w:val="24"/>
          <w:szCs w:val="24"/>
          <w:rtl/>
        </w:rPr>
      </w:pPr>
    </w:p>
    <w:p w:rsidR="00431C16" w:rsidRPr="00DA7E66" w:rsidRDefault="00431C16" w:rsidP="00DA7E66">
      <w:pPr>
        <w:pStyle w:val="ad"/>
        <w:numPr>
          <w:ilvl w:val="0"/>
          <w:numId w:val="1"/>
        </w:numPr>
        <w:spacing w:after="0" w:line="360" w:lineRule="auto"/>
        <w:ind w:left="283"/>
        <w:jc w:val="both"/>
        <w:rPr>
          <w:rFonts w:ascii="David" w:hAnsi="David" w:cs="David"/>
          <w:sz w:val="24"/>
          <w:szCs w:val="24"/>
          <w:u w:val="single"/>
          <w:rtl/>
        </w:rPr>
      </w:pPr>
      <w:r w:rsidRPr="00DA7E66">
        <w:rPr>
          <w:rFonts w:ascii="David" w:hAnsi="David" w:cs="David"/>
          <w:sz w:val="24"/>
          <w:szCs w:val="24"/>
          <w:rtl/>
        </w:rPr>
        <w:t xml:space="preserve">בענייננו, לאחר ששקלתי בדברים, הואיל והאם נדרשה להגיש כתב הגנה, ולהתייצב לדיון, לפנים משורת הדין, הנני מחייבת את האב בהוצאות משפט ושכ"ט עו"ד </w:t>
      </w:r>
      <w:r w:rsidRPr="00DA7E66">
        <w:rPr>
          <w:rFonts w:ascii="David" w:hAnsi="David" w:cs="David"/>
          <w:sz w:val="24"/>
          <w:szCs w:val="24"/>
          <w:u w:val="single"/>
          <w:rtl/>
        </w:rPr>
        <w:t>בסכום מופחת</w:t>
      </w:r>
      <w:r w:rsidRPr="00DA7E66">
        <w:rPr>
          <w:rFonts w:ascii="David" w:hAnsi="David" w:cs="David"/>
          <w:sz w:val="24"/>
          <w:szCs w:val="24"/>
          <w:rtl/>
        </w:rPr>
        <w:t xml:space="preserve"> של 2,500 ₪ בצירוף מע"מ כחוק, אשר ישולם תוך 30 יום, וממועד זה יישא הסכום הפרשי הצמדה וריבית עד התשלום המלא בפועל.</w:t>
      </w:r>
    </w:p>
    <w:p w:rsidR="00431C16" w:rsidRPr="00DA7E66" w:rsidRDefault="00431C16" w:rsidP="00DA7E66">
      <w:pPr>
        <w:pStyle w:val="ad"/>
        <w:spacing w:after="0" w:line="360" w:lineRule="auto"/>
        <w:ind w:left="368"/>
        <w:jc w:val="both"/>
        <w:rPr>
          <w:rFonts w:ascii="David" w:hAnsi="David" w:cs="David"/>
          <w:b/>
          <w:bCs/>
          <w:sz w:val="24"/>
          <w:szCs w:val="24"/>
          <w:u w:val="single"/>
        </w:rPr>
      </w:pPr>
    </w:p>
    <w:p w:rsidR="00431C16" w:rsidRPr="00DA7E66" w:rsidRDefault="00431C16" w:rsidP="00DA7E66">
      <w:pPr>
        <w:spacing w:line="360" w:lineRule="auto"/>
        <w:ind w:left="-142"/>
        <w:jc w:val="both"/>
        <w:rPr>
          <w:rFonts w:ascii="David" w:hAnsi="David"/>
          <w:b/>
          <w:bCs/>
          <w:u w:val="single"/>
        </w:rPr>
      </w:pPr>
      <w:r w:rsidRPr="00DA7E66">
        <w:rPr>
          <w:rFonts w:ascii="David" w:hAnsi="David"/>
          <w:b/>
          <w:bCs/>
          <w:u w:val="single"/>
          <w:rtl/>
        </w:rPr>
        <w:t>סוף דבר:</w:t>
      </w:r>
    </w:p>
    <w:p w:rsidR="00431C16" w:rsidRPr="00DA7E66" w:rsidRDefault="00431C16" w:rsidP="00DA7E66">
      <w:pPr>
        <w:spacing w:line="360" w:lineRule="auto"/>
        <w:jc w:val="both"/>
        <w:rPr>
          <w:rFonts w:ascii="David" w:hAnsi="David"/>
          <w:b/>
          <w:bCs/>
          <w:rtl/>
        </w:rPr>
      </w:pPr>
    </w:p>
    <w:p w:rsidR="00431C16" w:rsidRPr="00DA7E66" w:rsidRDefault="00431C16" w:rsidP="00DA7E66">
      <w:pPr>
        <w:pStyle w:val="ad"/>
        <w:numPr>
          <w:ilvl w:val="0"/>
          <w:numId w:val="1"/>
        </w:numPr>
        <w:spacing w:after="0" w:line="360" w:lineRule="auto"/>
        <w:ind w:left="283"/>
        <w:jc w:val="both"/>
        <w:rPr>
          <w:rFonts w:ascii="David" w:hAnsi="David" w:cs="David"/>
          <w:sz w:val="24"/>
          <w:szCs w:val="24"/>
          <w:rtl/>
        </w:rPr>
      </w:pPr>
      <w:r w:rsidRPr="00DA7E66">
        <w:rPr>
          <w:rFonts w:ascii="David" w:hAnsi="David" w:cs="David"/>
          <w:sz w:val="24"/>
          <w:szCs w:val="24"/>
          <w:rtl/>
        </w:rPr>
        <w:t>נוכח כל</w:t>
      </w:r>
      <w:r w:rsidR="001C6808" w:rsidRPr="00DA7E66">
        <w:rPr>
          <w:rFonts w:ascii="David" w:hAnsi="David" w:cs="David"/>
          <w:sz w:val="24"/>
          <w:szCs w:val="24"/>
          <w:rtl/>
        </w:rPr>
        <w:t xml:space="preserve"> האמור והמפורט לעיל, הנני מורה </w:t>
      </w:r>
      <w:r w:rsidRPr="00DA7E66">
        <w:rPr>
          <w:rFonts w:ascii="David" w:hAnsi="David" w:cs="David"/>
          <w:sz w:val="24"/>
          <w:szCs w:val="24"/>
          <w:rtl/>
        </w:rPr>
        <w:t>כדלקמן:</w:t>
      </w:r>
    </w:p>
    <w:p w:rsidR="00431C16" w:rsidRPr="00DA7E66" w:rsidRDefault="00431C16" w:rsidP="00DA7E66">
      <w:pPr>
        <w:pStyle w:val="ad"/>
        <w:numPr>
          <w:ilvl w:val="0"/>
          <w:numId w:val="3"/>
        </w:numPr>
        <w:spacing w:after="0" w:line="360" w:lineRule="auto"/>
        <w:jc w:val="both"/>
        <w:rPr>
          <w:rFonts w:ascii="David" w:hAnsi="David" w:cs="David"/>
          <w:sz w:val="24"/>
          <w:szCs w:val="24"/>
        </w:rPr>
      </w:pPr>
      <w:r w:rsidRPr="00DA7E66">
        <w:rPr>
          <w:rFonts w:ascii="David" w:hAnsi="David" w:cs="David"/>
          <w:sz w:val="24"/>
          <w:szCs w:val="24"/>
          <w:rtl/>
        </w:rPr>
        <w:t>התביעה נדחית, לאור הנימוקים אשר פורטו בפסק הדין.</w:t>
      </w:r>
    </w:p>
    <w:p w:rsidR="00431C16" w:rsidRPr="00DA7E66" w:rsidRDefault="00431C16" w:rsidP="00DA7E66">
      <w:pPr>
        <w:pStyle w:val="ad"/>
        <w:numPr>
          <w:ilvl w:val="0"/>
          <w:numId w:val="3"/>
        </w:numPr>
        <w:spacing w:after="0" w:line="360" w:lineRule="auto"/>
        <w:jc w:val="both"/>
        <w:rPr>
          <w:rFonts w:ascii="David" w:hAnsi="David" w:cs="David"/>
          <w:sz w:val="24"/>
          <w:szCs w:val="24"/>
        </w:rPr>
      </w:pPr>
      <w:r w:rsidRPr="00DA7E66">
        <w:rPr>
          <w:rFonts w:ascii="David" w:hAnsi="David" w:cs="David"/>
          <w:sz w:val="24"/>
          <w:szCs w:val="24"/>
          <w:rtl/>
        </w:rPr>
        <w:t>הנני מחייבת את האב בהוצאות משפט ושכ"ט עו"ד בסכום מופחת של 2,500 ₪ בצירוף מע"מ כחוק, אשר ישולם תוך 30 יום, וממועד זה יישא הסכום הפרשי הצמדה וריבית עד התשלום המלא בפועל.</w:t>
      </w:r>
    </w:p>
    <w:p w:rsidR="00DA7E66" w:rsidRPr="00DA7E66" w:rsidRDefault="00DA7E66" w:rsidP="00DA7E66">
      <w:pPr>
        <w:pStyle w:val="ad"/>
        <w:numPr>
          <w:ilvl w:val="0"/>
          <w:numId w:val="3"/>
        </w:numPr>
        <w:spacing w:after="0" w:line="360" w:lineRule="auto"/>
        <w:jc w:val="both"/>
        <w:rPr>
          <w:rFonts w:ascii="David" w:hAnsi="David" w:cs="David"/>
          <w:sz w:val="24"/>
          <w:szCs w:val="24"/>
        </w:rPr>
      </w:pPr>
      <w:r w:rsidRPr="00DA7E66">
        <w:rPr>
          <w:rFonts w:ascii="David" w:hAnsi="David" w:cs="David"/>
          <w:sz w:val="24"/>
          <w:szCs w:val="24"/>
          <w:rtl/>
        </w:rPr>
        <w:t>פסק הדין מותר לפרסום בהשמטת כל פרט מזהה, תיקוני הגהה ועריכה.</w:t>
      </w:r>
    </w:p>
    <w:p w:rsidR="00431C16" w:rsidRPr="00DA7E66" w:rsidRDefault="00431C16" w:rsidP="00DA7E66">
      <w:pPr>
        <w:pStyle w:val="ad"/>
        <w:spacing w:after="0" w:line="360" w:lineRule="auto"/>
        <w:ind w:left="368"/>
        <w:jc w:val="both"/>
        <w:rPr>
          <w:rFonts w:ascii="David" w:hAnsi="David" w:cs="David"/>
          <w:sz w:val="24"/>
          <w:szCs w:val="24"/>
        </w:rPr>
      </w:pPr>
    </w:p>
    <w:p w:rsidR="00431C16" w:rsidRPr="00DA7E66" w:rsidRDefault="00431C16" w:rsidP="00DA7E66">
      <w:pPr>
        <w:pStyle w:val="ad"/>
        <w:spacing w:after="0" w:line="360" w:lineRule="auto"/>
        <w:ind w:left="-58"/>
        <w:jc w:val="both"/>
        <w:rPr>
          <w:rFonts w:ascii="David" w:hAnsi="David" w:cs="David"/>
          <w:b/>
          <w:bCs/>
          <w:sz w:val="24"/>
          <w:szCs w:val="24"/>
          <w:u w:val="single"/>
          <w:rtl/>
        </w:rPr>
      </w:pPr>
      <w:r w:rsidRPr="00DA7E66">
        <w:rPr>
          <w:rFonts w:ascii="David" w:hAnsi="David" w:cs="David"/>
          <w:b/>
          <w:bCs/>
          <w:sz w:val="24"/>
          <w:szCs w:val="24"/>
          <w:u w:val="single"/>
          <w:rtl/>
        </w:rPr>
        <w:t>המזכירות תמציא העתק פסק הדין לב"כ הצדדים ותסגור התיק שבכותרת.</w:t>
      </w:r>
    </w:p>
    <w:p w:rsidR="00431C16" w:rsidRPr="00DA7E66" w:rsidRDefault="00431C16" w:rsidP="00DA7E66">
      <w:pPr>
        <w:pStyle w:val="ad"/>
        <w:spacing w:after="0" w:line="360" w:lineRule="auto"/>
        <w:ind w:left="-58"/>
        <w:jc w:val="both"/>
        <w:rPr>
          <w:rFonts w:ascii="David" w:hAnsi="David" w:cs="David"/>
          <w:b/>
          <w:bCs/>
          <w:sz w:val="24"/>
          <w:szCs w:val="24"/>
          <w:u w:val="single"/>
          <w:rtl/>
        </w:rPr>
      </w:pPr>
    </w:p>
    <w:p w:rsidR="003145C3" w:rsidRPr="0039364C" w:rsidRDefault="008A2083" w:rsidP="0039364C">
      <w:pPr>
        <w:pStyle w:val="ad"/>
        <w:spacing w:after="0" w:line="360" w:lineRule="auto"/>
        <w:ind w:left="-58"/>
        <w:jc w:val="both"/>
        <w:rPr>
          <w:rFonts w:ascii="David" w:hAnsi="David" w:cs="David"/>
          <w:b/>
          <w:bCs/>
          <w:sz w:val="24"/>
          <w:szCs w:val="24"/>
          <w:u w:val="single"/>
          <w:rtl/>
        </w:rPr>
      </w:pPr>
      <w:r w:rsidRPr="00DA7E66">
        <w:rPr>
          <w:rFonts w:ascii="David" w:hAnsi="David" w:cs="David"/>
          <w:sz w:val="24"/>
          <w:szCs w:val="24"/>
          <w:rtl/>
        </w:rPr>
        <w:t xml:space="preserve">ניתן היום,  </w:t>
      </w:r>
      <w:sdt>
        <w:sdtPr>
          <w:rPr>
            <w:rFonts w:ascii="David" w:hAnsi="David" w:cs="David"/>
            <w:sz w:val="24"/>
            <w:szCs w:val="24"/>
            <w:rtl/>
          </w:rPr>
          <w:alias w:val="1455"/>
          <w:tag w:val="1455"/>
          <w:id w:val="1845438649"/>
          <w:text w:multiLine="1"/>
        </w:sdtPr>
        <w:sdtEndPr/>
        <w:sdtContent>
          <w:r>
            <w:rPr>
              <w:rFonts w:ascii="David" w:hAnsi="David" w:cs="David"/>
              <w:sz w:val="24"/>
              <w:szCs w:val="24"/>
              <w:rtl/>
            </w:rPr>
            <w:t>כ"ט אדר תשפ"ג</w:t>
          </w:r>
        </w:sdtContent>
      </w:sdt>
      <w:r w:rsidRPr="00DA7E66">
        <w:rPr>
          <w:rFonts w:ascii="David" w:hAnsi="David" w:cs="David"/>
          <w:sz w:val="24"/>
          <w:szCs w:val="24"/>
          <w:rtl/>
        </w:rPr>
        <w:t xml:space="preserve">, </w:t>
      </w:r>
      <w:sdt>
        <w:sdtPr>
          <w:rPr>
            <w:rFonts w:ascii="David" w:hAnsi="David" w:cs="David"/>
            <w:sz w:val="24"/>
            <w:szCs w:val="24"/>
            <w:rtl/>
          </w:rPr>
          <w:alias w:val="1456"/>
          <w:tag w:val="1456"/>
          <w:id w:val="-2061860040"/>
          <w:text w:multiLine="1"/>
        </w:sdtPr>
        <w:sdtEndPr/>
        <w:sdtContent>
          <w:r>
            <w:rPr>
              <w:rFonts w:ascii="David" w:hAnsi="David" w:cs="David"/>
              <w:sz w:val="24"/>
              <w:szCs w:val="24"/>
              <w:rtl/>
            </w:rPr>
            <w:t>22 מרץ 2023</w:t>
          </w:r>
        </w:sdtContent>
      </w:sdt>
      <w:r w:rsidRPr="00DA7E66">
        <w:rPr>
          <w:rFonts w:ascii="David" w:hAnsi="David" w:cs="David"/>
          <w:sz w:val="24"/>
          <w:szCs w:val="24"/>
          <w:rtl/>
        </w:rPr>
        <w:t>, בהעדר הצדדים.</w:t>
      </w:r>
    </w:p>
    <w:p w:rsidR="008A2083" w:rsidRPr="00DA7E66" w:rsidRDefault="008A2083" w:rsidP="00DA7E66">
      <w:pPr>
        <w:pStyle w:val="ad"/>
        <w:spacing w:after="0" w:line="360" w:lineRule="auto"/>
        <w:ind w:left="-58"/>
        <w:jc w:val="both"/>
        <w:rPr>
          <w:rFonts w:ascii="David" w:hAnsi="David" w:cs="David"/>
          <w:b/>
          <w:bCs/>
          <w:sz w:val="24"/>
          <w:szCs w:val="24"/>
          <w:u w:val="single"/>
          <w:rtl/>
        </w:rPr>
      </w:pPr>
    </w:p>
    <w:p w:rsidR="00431C16" w:rsidRPr="00DA7E66" w:rsidRDefault="00431C16" w:rsidP="00DA7E66">
      <w:pPr>
        <w:spacing w:line="360" w:lineRule="auto"/>
        <w:jc w:val="both"/>
        <w:rPr>
          <w:rFonts w:ascii="David" w:hAnsi="David"/>
          <w:noProof w:val="0"/>
        </w:rPr>
      </w:pPr>
    </w:p>
    <w:p w:rsidR="00431C16" w:rsidRPr="00DA7E66" w:rsidRDefault="00431C16" w:rsidP="00DA7E66">
      <w:pPr>
        <w:spacing w:line="360" w:lineRule="auto"/>
        <w:jc w:val="both"/>
        <w:rPr>
          <w:rFonts w:ascii="David" w:hAnsi="David"/>
          <w:noProof w:val="0"/>
          <w:rtl/>
        </w:rPr>
      </w:pPr>
    </w:p>
    <w:p w:rsidR="00694556" w:rsidRDefault="00431C16" w:rsidP="00DA7E66">
      <w:pPr>
        <w:spacing w:line="360" w:lineRule="auto"/>
        <w:jc w:val="center"/>
        <w:rPr>
          <w:rFonts w:ascii="Arial" w:hAnsi="Arial"/>
          <w:noProof w:val="0"/>
          <w:rtl/>
        </w:rPr>
      </w:pPr>
      <w:r>
        <w:rPr>
          <w:rFonts w:ascii="Arial" w:hAnsi="Arial"/>
          <w:noProof w:val="0"/>
          <w:rtl/>
        </w:rPr>
        <w:t xml:space="preserve">                                                                 </w:t>
      </w:r>
      <w:r>
        <w:rPr>
          <w:rFonts w:ascii="Arial" w:hAnsi="Arial"/>
        </w:rPr>
        <w:drawing>
          <wp:inline distT="0" distB="0" distL="0" distR="0">
            <wp:extent cx="1969770" cy="1177925"/>
            <wp:effectExtent l="0" t="0" r="0" b="317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69770" cy="1177925"/>
                    </a:xfrm>
                    <a:prstGeom prst="rect">
                      <a:avLst/>
                    </a:prstGeom>
                    <a:noFill/>
                    <a:ln>
                      <a:noFill/>
                    </a:ln>
                  </pic:spPr>
                </pic:pic>
              </a:graphicData>
            </a:graphic>
          </wp:inline>
        </w:drawing>
      </w:r>
    </w:p>
    <w:sectPr w:rsidR="00694556" w:rsidSect="00903896">
      <w:headerReference w:type="default" r:id="rId14"/>
      <w:footerReference w:type="defaul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F3F" w:rsidRDefault="004C2F3F">
      <w:r>
        <w:separator/>
      </w:r>
    </w:p>
  </w:endnote>
  <w:endnote w:type="continuationSeparator" w:id="0">
    <w:p w:rsidR="004C2F3F" w:rsidRDefault="004C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90E6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90E61">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F3F" w:rsidRDefault="004C2F3F">
      <w:r>
        <w:separator/>
      </w:r>
    </w:p>
  </w:footnote>
  <w:footnote w:type="continuationSeparator" w:id="0">
    <w:p w:rsidR="004C2F3F" w:rsidRDefault="004C2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0761C5">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0761C5">
      <w:trPr>
        <w:trHeight w:val="337"/>
        <w:jc w:val="center"/>
      </w:trPr>
      <w:tc>
        <w:tcPr>
          <w:tcW w:w="8505" w:type="dxa"/>
        </w:tcPr>
        <w:p w:rsidR="00694556" w:rsidRDefault="004C2F3F" w:rsidP="006A0157">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39663-09-22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A0157">
                <w:rPr>
                  <w:rFonts w:hint="cs"/>
                  <w:b/>
                  <w:bCs/>
                  <w:noProof w:val="0"/>
                  <w:sz w:val="26"/>
                  <w:szCs w:val="26"/>
                </w:rPr>
                <w:t>XXX</w:t>
              </w:r>
              <w:r w:rsidR="00E44DDF">
                <w:rPr>
                  <w:b/>
                  <w:bCs/>
                  <w:noProof w:val="0"/>
                  <w:sz w:val="26"/>
                  <w:szCs w:val="26"/>
                  <w:rtl/>
                </w:rPr>
                <w:t xml:space="preserve"> נ' </w:t>
              </w:r>
              <w:r w:rsidR="006A0157">
                <w:rPr>
                  <w:rFonts w:hint="cs"/>
                  <w:b/>
                  <w:bCs/>
                  <w:noProof w:val="0"/>
                  <w:sz w:val="26"/>
                  <w:szCs w:val="26"/>
                </w:rPr>
                <w:t>XXX</w:t>
              </w:r>
            </w:sdtContent>
          </w:sdt>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694556">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91805"/>
    <w:multiLevelType w:val="hybridMultilevel"/>
    <w:tmpl w:val="669607A0"/>
    <w:lvl w:ilvl="0" w:tplc="3A4AAC7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6417A52"/>
    <w:multiLevelType w:val="hybridMultilevel"/>
    <w:tmpl w:val="E06628F0"/>
    <w:lvl w:ilvl="0" w:tplc="0EC4C4F6">
      <w:start w:val="1"/>
      <w:numFmt w:val="decimal"/>
      <w:lvlText w:val="%1."/>
      <w:lvlJc w:val="left"/>
      <w:pPr>
        <w:ind w:left="6314" w:hanging="360"/>
      </w:pPr>
      <w:rPr>
        <w:rFonts w:ascii="Arial" w:eastAsiaTheme="minorHAnsi" w:hAnsi="Arial" w:cstheme="minorBidi"/>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4C20191"/>
    <w:multiLevelType w:val="hybridMultilevel"/>
    <w:tmpl w:val="3AD0CA58"/>
    <w:lvl w:ilvl="0" w:tplc="E7D689C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8DC5163"/>
    <w:multiLevelType w:val="hybridMultilevel"/>
    <w:tmpl w:val="A95CAB3A"/>
    <w:lvl w:ilvl="0" w:tplc="9334AE2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276D6"/>
    <w:rsid w:val="000564AB"/>
    <w:rsid w:val="000704A4"/>
    <w:rsid w:val="000761C5"/>
    <w:rsid w:val="000D4A02"/>
    <w:rsid w:val="001072A9"/>
    <w:rsid w:val="00121F97"/>
    <w:rsid w:val="001277D7"/>
    <w:rsid w:val="00131763"/>
    <w:rsid w:val="00132017"/>
    <w:rsid w:val="0014234E"/>
    <w:rsid w:val="00145A87"/>
    <w:rsid w:val="001C4003"/>
    <w:rsid w:val="001C6808"/>
    <w:rsid w:val="001C75F2"/>
    <w:rsid w:val="001F2456"/>
    <w:rsid w:val="001F5474"/>
    <w:rsid w:val="002352F7"/>
    <w:rsid w:val="0027277D"/>
    <w:rsid w:val="002739A2"/>
    <w:rsid w:val="0029710C"/>
    <w:rsid w:val="002E05A2"/>
    <w:rsid w:val="002E0661"/>
    <w:rsid w:val="003145C3"/>
    <w:rsid w:val="00330548"/>
    <w:rsid w:val="00381D3A"/>
    <w:rsid w:val="003823DA"/>
    <w:rsid w:val="0039364C"/>
    <w:rsid w:val="00411DEB"/>
    <w:rsid w:val="00412484"/>
    <w:rsid w:val="004237EE"/>
    <w:rsid w:val="00431C16"/>
    <w:rsid w:val="0043595F"/>
    <w:rsid w:val="0047645A"/>
    <w:rsid w:val="004C2F3F"/>
    <w:rsid w:val="004D49A3"/>
    <w:rsid w:val="004D50AC"/>
    <w:rsid w:val="004E6E3C"/>
    <w:rsid w:val="004F07EF"/>
    <w:rsid w:val="005124F1"/>
    <w:rsid w:val="00530BAD"/>
    <w:rsid w:val="00541598"/>
    <w:rsid w:val="00547DB7"/>
    <w:rsid w:val="00567324"/>
    <w:rsid w:val="00590E61"/>
    <w:rsid w:val="00593A60"/>
    <w:rsid w:val="005B0F49"/>
    <w:rsid w:val="005C7EC6"/>
    <w:rsid w:val="005D4BDB"/>
    <w:rsid w:val="00622BAA"/>
    <w:rsid w:val="00625C89"/>
    <w:rsid w:val="00627D17"/>
    <w:rsid w:val="00633C4F"/>
    <w:rsid w:val="006432E1"/>
    <w:rsid w:val="00671BD5"/>
    <w:rsid w:val="006805C1"/>
    <w:rsid w:val="006816EC"/>
    <w:rsid w:val="00681DA3"/>
    <w:rsid w:val="00694556"/>
    <w:rsid w:val="006A0157"/>
    <w:rsid w:val="006E1A53"/>
    <w:rsid w:val="007056AA"/>
    <w:rsid w:val="00744F41"/>
    <w:rsid w:val="007576AE"/>
    <w:rsid w:val="007A24FE"/>
    <w:rsid w:val="007A35AA"/>
    <w:rsid w:val="007F1048"/>
    <w:rsid w:val="007F1AC3"/>
    <w:rsid w:val="007F3EBB"/>
    <w:rsid w:val="00820005"/>
    <w:rsid w:val="00846D27"/>
    <w:rsid w:val="008610A7"/>
    <w:rsid w:val="008A2083"/>
    <w:rsid w:val="008E1332"/>
    <w:rsid w:val="00903896"/>
    <w:rsid w:val="00927813"/>
    <w:rsid w:val="00944D13"/>
    <w:rsid w:val="00957C90"/>
    <w:rsid w:val="00961F71"/>
    <w:rsid w:val="0098711C"/>
    <w:rsid w:val="009B70F6"/>
    <w:rsid w:val="009C358E"/>
    <w:rsid w:val="009D57CA"/>
    <w:rsid w:val="009E0263"/>
    <w:rsid w:val="00A267CF"/>
    <w:rsid w:val="00A43458"/>
    <w:rsid w:val="00A57BEE"/>
    <w:rsid w:val="00A672BD"/>
    <w:rsid w:val="00A7328C"/>
    <w:rsid w:val="00AC4E19"/>
    <w:rsid w:val="00AD7699"/>
    <w:rsid w:val="00AF1ED6"/>
    <w:rsid w:val="00B00E54"/>
    <w:rsid w:val="00B32C61"/>
    <w:rsid w:val="00B368FE"/>
    <w:rsid w:val="00B620A8"/>
    <w:rsid w:val="00B80CBD"/>
    <w:rsid w:val="00BA5B2F"/>
    <w:rsid w:val="00BC3369"/>
    <w:rsid w:val="00BD7959"/>
    <w:rsid w:val="00BE5EE0"/>
    <w:rsid w:val="00BF77EE"/>
    <w:rsid w:val="00C32E0F"/>
    <w:rsid w:val="00C42BF9"/>
    <w:rsid w:val="00C51FE1"/>
    <w:rsid w:val="00C83E56"/>
    <w:rsid w:val="00CA0649"/>
    <w:rsid w:val="00CC4A16"/>
    <w:rsid w:val="00CC4F10"/>
    <w:rsid w:val="00CC63CE"/>
    <w:rsid w:val="00CC6CEC"/>
    <w:rsid w:val="00D200D4"/>
    <w:rsid w:val="00D319B3"/>
    <w:rsid w:val="00D36A71"/>
    <w:rsid w:val="00D53924"/>
    <w:rsid w:val="00D53B62"/>
    <w:rsid w:val="00D60849"/>
    <w:rsid w:val="00D96D8C"/>
    <w:rsid w:val="00DA755B"/>
    <w:rsid w:val="00DA7E66"/>
    <w:rsid w:val="00DD337E"/>
    <w:rsid w:val="00E00B6F"/>
    <w:rsid w:val="00E44DDF"/>
    <w:rsid w:val="00E54642"/>
    <w:rsid w:val="00E60546"/>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431C16"/>
    <w:rPr>
      <w:color w:val="0000FF"/>
      <w:u w:val="single"/>
    </w:rPr>
  </w:style>
  <w:style w:type="paragraph" w:styleId="ad">
    <w:name w:val="List Paragraph"/>
    <w:basedOn w:val="a"/>
    <w:uiPriority w:val="34"/>
    <w:qFormat/>
    <w:rsid w:val="00431C16"/>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431C16"/>
    <w:pPr>
      <w:spacing w:after="160" w:line="254" w:lineRule="auto"/>
      <w:ind w:left="720"/>
      <w:contextualSpacing/>
    </w:pPr>
    <w:rPr>
      <w:rFonts w:ascii="Calibri" w:eastAsia="Calibri" w:hAnsi="Calibri" w:cs="Arial"/>
      <w:noProof w:val="0"/>
      <w:sz w:val="22"/>
      <w:szCs w:val="22"/>
    </w:rPr>
  </w:style>
  <w:style w:type="paragraph" w:customStyle="1" w:styleId="Ruller4">
    <w:name w:val="Ruller4"/>
    <w:basedOn w:val="a"/>
    <w:rsid w:val="00431C16"/>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5526">
      <w:bodyDiv w:val="1"/>
      <w:marLeft w:val="0"/>
      <w:marRight w:val="0"/>
      <w:marTop w:val="0"/>
      <w:marBottom w:val="0"/>
      <w:divBdr>
        <w:top w:val="none" w:sz="0" w:space="0" w:color="auto"/>
        <w:left w:val="none" w:sz="0" w:space="0" w:color="auto"/>
        <w:bottom w:val="none" w:sz="0" w:space="0" w:color="auto"/>
        <w:right w:val="none" w:sz="0" w:space="0" w:color="auto"/>
      </w:divBdr>
    </w:div>
    <w:div w:id="270743729">
      <w:bodyDiv w:val="1"/>
      <w:marLeft w:val="0"/>
      <w:marRight w:val="0"/>
      <w:marTop w:val="0"/>
      <w:marBottom w:val="0"/>
      <w:divBdr>
        <w:top w:val="none" w:sz="0" w:space="0" w:color="auto"/>
        <w:left w:val="none" w:sz="0" w:space="0" w:color="auto"/>
        <w:bottom w:val="none" w:sz="0" w:space="0" w:color="auto"/>
        <w:right w:val="none" w:sz="0" w:space="0" w:color="auto"/>
      </w:divBdr>
    </w:div>
    <w:div w:id="568078018">
      <w:bodyDiv w:val="1"/>
      <w:marLeft w:val="0"/>
      <w:marRight w:val="0"/>
      <w:marTop w:val="0"/>
      <w:marBottom w:val="0"/>
      <w:divBdr>
        <w:top w:val="none" w:sz="0" w:space="0" w:color="auto"/>
        <w:left w:val="none" w:sz="0" w:space="0" w:color="auto"/>
        <w:bottom w:val="none" w:sz="0" w:space="0" w:color="auto"/>
        <w:right w:val="none" w:sz="0" w:space="0" w:color="auto"/>
      </w:divBdr>
    </w:div>
    <w:div w:id="87269597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17991840">
      <w:bodyDiv w:val="1"/>
      <w:marLeft w:val="0"/>
      <w:marRight w:val="0"/>
      <w:marTop w:val="0"/>
      <w:marBottom w:val="0"/>
      <w:divBdr>
        <w:top w:val="none" w:sz="0" w:space="0" w:color="auto"/>
        <w:left w:val="none" w:sz="0" w:space="0" w:color="auto"/>
        <w:bottom w:val="none" w:sz="0" w:space="0" w:color="auto"/>
        <w:right w:val="none" w:sz="0" w:space="0" w:color="auto"/>
      </w:divBdr>
    </w:div>
    <w:div w:id="2023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case/2713622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196390/5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2038</Words>
  <Characters>10190</Characters>
  <Application>Microsoft Office Word</Application>
  <DocSecurity>0</DocSecurity>
  <Lines>84</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2023-04-02T11:34:00Z</dcterms:created>
  <dcterms:modified xsi:type="dcterms:W3CDTF">2023-04-02T11:34:00Z</dcterms:modified>
</cp:coreProperties>
</file>